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5.png" ContentType="image/png"/>
  <Override PartName="/word/media/rId36.png" ContentType="image/png"/>
  <Override PartName="/word/media/rId31.png" ContentType="image/png"/>
  <Override PartName="/word/media/rId68.png" ContentType="image/png"/>
  <Override PartName="/word/media/rId112.png" ContentType="image/png"/>
  <Override PartName="/word/media/rId105.png" ContentType="image/png"/>
  <Override PartName="/word/media/rId97.png" ContentType="image/png"/>
  <Override PartName="/word/media/rId55.png" ContentType="image/png"/>
  <Override PartName="/word/media/rId61.png" ContentType="image/png"/>
  <Override PartName="/word/media/rId76.png" ContentType="image/png"/>
  <Override PartName="/word/media/rId81.png" ContentType="image/png"/>
  <Override PartName="/word/media/rId8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Regeneration</w:t>
      </w:r>
      <w:r>
        <w:t xml:space="preserve"> </w:t>
      </w:r>
      <w:r>
        <w:t xml:space="preserve">and</w:t>
      </w:r>
      <w:r>
        <w:t xml:space="preserve"> </w:t>
      </w:r>
      <w:r>
        <w:t xml:space="preserve">Fuel</w:t>
      </w:r>
      <w:r>
        <w:t xml:space="preserve"> </w:t>
      </w:r>
      <w:r>
        <w:t xml:space="preserve">Loading</w:t>
      </w:r>
      <w:r>
        <w:t xml:space="preserve"> </w:t>
      </w:r>
      <w:r>
        <w:t xml:space="preserve">with</w:t>
      </w:r>
      <w:r>
        <w:t xml:space="preserve"> </w:t>
      </w:r>
      <w:r>
        <w:t xml:space="preserve">Varying</w:t>
      </w:r>
      <w:r>
        <w:t xml:space="preserve"> </w:t>
      </w:r>
      <w:r>
        <w:t xml:space="preserve">Overstory</w:t>
      </w:r>
      <w:r>
        <w:t xml:space="preserve"> </w:t>
      </w:r>
      <w:r>
        <w:t xml:space="preserve">Retention</w:t>
      </w:r>
      <w:r>
        <w:t xml:space="preserve"> </w:t>
      </w:r>
      <w:r>
        <w:t xml:space="preserve">in</w:t>
      </w:r>
      <w:r>
        <w:t xml:space="preserve"> </w:t>
      </w:r>
      <w:r>
        <w:t xml:space="preserve">Redwood</w:t>
      </w:r>
      <w:r>
        <w:t xml:space="preserve"> </w:t>
      </w:r>
      <w:r>
        <w:t xml:space="preserve">Stands</w:t>
      </w:r>
      <w:r>
        <w:t xml:space="preserve"> </w:t>
      </w:r>
      <w:r>
        <w:t xml:space="preserve">10</w:t>
      </w:r>
      <w:r>
        <w:t xml:space="preserve"> </w:t>
      </w:r>
      <w:r>
        <w:t xml:space="preserve">Years</w:t>
      </w:r>
      <w:r>
        <w:t xml:space="preserve"> </w:t>
      </w:r>
      <w:r>
        <w:t xml:space="preserve">after</w:t>
      </w:r>
      <w:r>
        <w:t xml:space="preserve"> </w:t>
      </w:r>
      <w:r>
        <w:t xml:space="preserve">Transformation</w:t>
      </w:r>
      <w:r>
        <w:t xml:space="preserve"> </w:t>
      </w:r>
      <w:r>
        <w:t xml:space="preserve">to</w:t>
      </w:r>
      <w:r>
        <w:t xml:space="preserve"> </w:t>
      </w:r>
      <w:r>
        <w:t xml:space="preserve">Multiaged</w:t>
      </w:r>
      <w:r>
        <w:t xml:space="preserve"> </w:t>
      </w:r>
      <w:r>
        <w:t xml:space="preserve">Management</w:t>
      </w:r>
    </w:p>
    <w:p>
      <w:pPr>
        <w:pStyle w:val="Author"/>
      </w:pPr>
      <w:r>
        <w:t xml:space="preserve">Judson</w:t>
      </w:r>
      <w:r>
        <w:t xml:space="preserve"> </w:t>
      </w:r>
      <w:r>
        <w:t xml:space="preserve">Fisher</w:t>
      </w:r>
    </w:p>
    <w:p>
      <w:pPr>
        <w:pStyle w:val="Date"/>
      </w:pPr>
      <w:r>
        <w:t xml:space="preserve">2024-02-13</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"1-4" \h \z \u</w:instrText>
            <w:fldChar w:fldCharType="separate"/>
            <w:fldChar w:fldCharType="end"/>
          </w:r>
        </w:p>
      </w:sdtContent>
    </w:sdt>
    <w:bookmarkStart w:id="21" w:name="abstract"/>
    <w:p>
      <w:pPr>
        <w:pStyle w:val="Heading1"/>
      </w:pPr>
      <w:r>
        <w:t xml:space="preserve">Abstract</w:t>
      </w:r>
    </w:p>
    <w:p>
      <w:pPr>
        <w:pStyle w:val="FirstParagraph"/>
      </w:pPr>
      <w:r>
        <w:t xml:space="preserve">This is an analysis of the 10-year re-measure of the Redwood multi-age</w:t>
      </w:r>
      <w:r>
        <w:t xml:space="preserve"> </w:t>
      </w:r>
      <w:r>
        <w:t xml:space="preserve">experiment which is maintained by Dr. Pascal Berrill, professor of silviculture</w:t>
      </w:r>
      <w:r>
        <w:t xml:space="preserve"> </w:t>
      </w:r>
      <w:r>
        <w:t xml:space="preserve">at Cal-Poly Humboldt, in conjunction with the Jackson Demonstration State Forest</w:t>
      </w:r>
      <w:r>
        <w:t xml:space="preserve"> </w:t>
      </w:r>
      <w:r>
        <w:t xml:space="preserve">in Mendocino County, California. The multi-aged experiment explores the</w:t>
      </w:r>
      <w:r>
        <w:t xml:space="preserve"> </w:t>
      </w:r>
      <w:r>
        <w:t xml:space="preserve">regeneration response of several species following different harvesting</w:t>
      </w:r>
      <w:r>
        <w:t xml:space="preserve"> </w:t>
      </w:r>
      <w:r>
        <w:t xml:space="preserve">techniques including group selection, aggregated retention, and high/low</w:t>
      </w:r>
      <w:r>
        <w:t xml:space="preserve"> </w:t>
      </w:r>
      <w:r>
        <w:t xml:space="preserve">dispersed retention. The 10-year re-measure data includes surface fuel</w:t>
      </w:r>
      <w:r>
        <w:t xml:space="preserve"> </w:t>
      </w:r>
      <w:r>
        <w:t xml:space="preserve">characterization and regeneration density.</w:t>
      </w:r>
    </w:p>
    <w:bookmarkStart w:id="20" w:name="acknowledgements"/>
    <w:p>
      <w:pPr>
        <w:pStyle w:val="Heading2"/>
      </w:pPr>
      <w:r>
        <w:t xml:space="preserve">Acknowledgements</w:t>
      </w:r>
    </w:p>
    <w:p>
      <w:pPr>
        <w:pStyle w:val="FirstParagraph"/>
      </w:pPr>
      <w:r>
        <w:t xml:space="preserve">I would like to thank my advisor Pascal Berrill for his long standing support</w:t>
      </w:r>
      <w:r>
        <w:t xml:space="preserve"> </w:t>
      </w:r>
      <w:r>
        <w:t xml:space="preserve">and unwavering flexibility in accommodating my not-always-most-direct path and</w:t>
      </w:r>
      <w:r>
        <w:t xml:space="preserve"> </w:t>
      </w:r>
      <w:r>
        <w:t xml:space="preserve">unfailing confidence in my abilities. I’m indebted to his long-time investment</w:t>
      </w:r>
      <w:r>
        <w:t xml:space="preserve"> </w:t>
      </w:r>
      <w:r>
        <w:t xml:space="preserve">in me through the sharing of his knowledge and experience and enriched by his</w:t>
      </w:r>
      <w:r>
        <w:t xml:space="preserve"> </w:t>
      </w:r>
      <w:r>
        <w:t xml:space="preserve">friendship. My other committee members, Jeffrey Kane, and Rosanna Overholser</w:t>
      </w:r>
      <w:r>
        <w:t xml:space="preserve"> </w:t>
      </w:r>
      <w:r>
        <w:t xml:space="preserve">have also offered their long-suffering support, and friendship and have been</w:t>
      </w:r>
      <w:r>
        <w:t xml:space="preserve"> </w:t>
      </w:r>
      <w:r>
        <w:t xml:space="preserve">invaluable resources and trusted sounding blocks as I have navigated this</w:t>
      </w:r>
      <w:r>
        <w:t xml:space="preserve"> </w:t>
      </w:r>
      <w:r>
        <w:t xml:space="preserve">process. Their direction, advice, and encouragement were instrumental in my</w:t>
      </w:r>
      <w:r>
        <w:t xml:space="preserve"> </w:t>
      </w:r>
      <w:r>
        <w:t xml:space="preserve">continued commitment to completing my thesis. This thesis would not have been</w:t>
      </w:r>
      <w:r>
        <w:t xml:space="preserve"> </w:t>
      </w:r>
      <w:r>
        <w:t xml:space="preserve">possible without the administrative support of Nona Minerva, Erin Kelly, and</w:t>
      </w:r>
      <w:r>
        <w:t xml:space="preserve"> </w:t>
      </w:r>
      <w:r>
        <w:t xml:space="preserve">Eric Riggs. My field data would have been measly at best were it not for the</w:t>
      </w:r>
      <w:r>
        <w:t xml:space="preserve"> </w:t>
      </w:r>
      <w:r>
        <w:t xml:space="preserve">dedicated efforts of our field crew: Allen Cooper, JD Wilder, Destiny Rivera,</w:t>
      </w:r>
      <w:r>
        <w:t xml:space="preserve"> </w:t>
      </w:r>
      <w:r>
        <w:t xml:space="preserve">Keith Shuttle, Aidan Jack Murphy, Ian Blundell, Hanna Upton, and Ally Medina.</w:t>
      </w:r>
    </w:p>
    <w:p>
      <w:pPr>
        <w:pStyle w:val="BodyText"/>
      </w:pPr>
      <w:r>
        <w:t xml:space="preserve">I acknowledge that this research was conducted on the unceded territory of the</w:t>
      </w:r>
      <w:r>
        <w:t xml:space="preserve"> </w:t>
      </w:r>
      <w:r>
        <w:t xml:space="preserve">Northern Pomo tribes, the original stewards of these lands. I recognize and</w:t>
      </w:r>
      <w:r>
        <w:t xml:space="preserve"> </w:t>
      </w:r>
      <w:r>
        <w:t xml:space="preserve">deeply regret our failure to engage with the tribe during our fieldwork. This</w:t>
      </w:r>
      <w:r>
        <w:t xml:space="preserve"> </w:t>
      </w:r>
      <w:r>
        <w:t xml:space="preserve">omission carries significant implications for the responsible management of</w:t>
      </w:r>
      <w:r>
        <w:t xml:space="preserve"> </w:t>
      </w:r>
      <w:r>
        <w:t xml:space="preserve">these forest ecosystems, particularly regarding the health and development of</w:t>
      </w:r>
      <w:r>
        <w:t xml:space="preserve"> </w:t>
      </w:r>
      <w:r>
        <w:t xml:space="preserve">tanoak, a keystone species and a principal food source sustaining the Pomo</w:t>
      </w:r>
      <w:r>
        <w:t xml:space="preserve"> </w:t>
      </w:r>
      <w:r>
        <w:t xml:space="preserve">people since time immemorial. I understand the importance of incorporating</w:t>
      </w:r>
      <w:r>
        <w:t xml:space="preserve"> </w:t>
      </w:r>
      <w:r>
        <w:t xml:space="preserve">Indigenous knowledge into ecological research and management, and I sincerely</w:t>
      </w:r>
      <w:r>
        <w:t xml:space="preserve"> </w:t>
      </w:r>
      <w:r>
        <w:t xml:space="preserve">hope that future projects on these lands will be conducted in genuine and</w:t>
      </w:r>
      <w:r>
        <w:t xml:space="preserve"> </w:t>
      </w:r>
      <w:r>
        <w:t xml:space="preserve">collaborative partnership with Pomo tribal members. I believe their expertise is</w:t>
      </w:r>
      <w:r>
        <w:t xml:space="preserve"> </w:t>
      </w:r>
      <w:r>
        <w:t xml:space="preserve">essential to ensuring the respectful and sustainable stewardship of their</w:t>
      </w:r>
      <w:r>
        <w:t xml:space="preserve"> </w:t>
      </w:r>
      <w:r>
        <w:t xml:space="preserve">ancestral territory.</w:t>
      </w:r>
    </w:p>
    <w:p>
      <w:pPr>
        <w:pStyle w:val="BodyText"/>
      </w:pPr>
      <w:r>
        <w:t xml:space="preserve">I would like to thank my children: Fox and Hazel, and my loving partner Megan</w:t>
      </w:r>
      <w:r>
        <w:t xml:space="preserve"> </w:t>
      </w:r>
      <w:r>
        <w:t xml:space="preserve">for their support and patience in allowing me the time and space to continue</w:t>
      </w:r>
      <w:r>
        <w:t xml:space="preserve"> </w:t>
      </w:r>
      <w:r>
        <w:t xml:space="preserve">working on this thesis even when it went on much longer than I had originally</w:t>
      </w:r>
      <w:r>
        <w:t xml:space="preserve"> </w:t>
      </w:r>
      <w:r>
        <w:t xml:space="preserve">anticipated and meant the sacrifice of some of our precious shared weekend time.</w:t>
      </w:r>
      <w:r>
        <w:t xml:space="preserve"> </w:t>
      </w:r>
      <w:r>
        <w:t xml:space="preserve">I’m deeply grateful for their willingness to prioritize my personal development</w:t>
      </w:r>
      <w:r>
        <w:t xml:space="preserve"> </w:t>
      </w:r>
      <w:r>
        <w:t xml:space="preserve">and their confidence in my eventual success.</w:t>
      </w:r>
    </w:p>
    <w:bookmarkEnd w:id="20"/>
    <w:bookmarkEnd w:id="21"/>
    <w:bookmarkStart w:id="30" w:name="introduction"/>
    <w:p>
      <w:pPr>
        <w:pStyle w:val="Heading1"/>
      </w:pPr>
      <w:r>
        <w:t xml:space="preserve">1. Introduction</w:t>
      </w:r>
    </w:p>
    <w:bookmarkStart w:id="22" w:name="multiaged-management"/>
    <w:p>
      <w:pPr>
        <w:pStyle w:val="Heading2"/>
      </w:pPr>
      <w:r>
        <w:t xml:space="preserve">1.1 Multiaged management</w:t>
      </w:r>
    </w:p>
    <w:p>
      <w:pPr>
        <w:pStyle w:val="FirstParagraph"/>
      </w:pPr>
      <w:r>
        <w:t xml:space="preserve">Ecological forestry which maintains a wide range of ecosystem services while</w:t>
      </w:r>
      <w:r>
        <w:t xml:space="preserve"> </w:t>
      </w:r>
      <w:r>
        <w:t xml:space="preserve">also supplying timber requires a diverse landscape of highly varied forest</w:t>
      </w:r>
      <w:r>
        <w:t xml:space="preserve"> </w:t>
      </w:r>
      <w:r>
        <w:t xml:space="preserve">structures</w:t>
      </w:r>
      <w:r>
        <w:t xml:space="preserve"> </w:t>
      </w:r>
      <w:r>
        <w:t xml:space="preserve">(Aplet, 1994; Nolet et al., 2018; O’Hara, 2001)</w:t>
      </w:r>
      <w:r>
        <w:t xml:space="preserve"> </w:t>
      </w:r>
      <w:r>
        <w:t xml:space="preserve">. These, in turn, require a</w:t>
      </w:r>
      <w:r>
        <w:t xml:space="preserve"> </w:t>
      </w:r>
      <w:r>
        <w:t xml:space="preserve">variety of silvicultural techniques to implement and sustain</w:t>
      </w:r>
      <w:r>
        <w:t xml:space="preserve"> </w:t>
      </w:r>
      <w:r>
        <w:t xml:space="preserve">(O’Hara, 1998; Schütz, 2002)</w:t>
      </w:r>
      <w:r>
        <w:t xml:space="preserve">. The development of multiaged stand</w:t>
      </w:r>
      <w:r>
        <w:t xml:space="preserve"> </w:t>
      </w:r>
      <w:r>
        <w:t xml:space="preserve">structures has long been of interest to silviculturists as a key</w:t>
      </w:r>
      <w:r>
        <w:t xml:space="preserve"> </w:t>
      </w:r>
      <w:r>
        <w:t xml:space="preserve">alternative to the conceptually and logistically simpler, even-aged management</w:t>
      </w:r>
      <w:r>
        <w:t xml:space="preserve"> </w:t>
      </w:r>
      <w:r>
        <w:t xml:space="preserve">(Schütz, 1999)</w:t>
      </w:r>
      <w:r>
        <w:t xml:space="preserve">. Multiaged silviculture refers to the</w:t>
      </w:r>
      <w:r>
        <w:t xml:space="preserve"> </w:t>
      </w:r>
      <w:r>
        <w:t xml:space="preserve">retention of trees of distinctively different age classes, growing together</w:t>
      </w:r>
      <w:r>
        <w:t xml:space="preserve"> </w:t>
      </w:r>
      <w:r>
        <w:t xml:space="preserve">within the same stand. These cohorts may co-occur at the tree level, or</w:t>
      </w:r>
      <w:r>
        <w:t xml:space="preserve"> </w:t>
      </w:r>
      <w:r>
        <w:t xml:space="preserve">in small, even-aged patches within the stand. In the latter case, the</w:t>
      </w:r>
      <w:r>
        <w:t xml:space="preserve"> </w:t>
      </w:r>
      <w:r>
        <w:t xml:space="preserve">distinction between even- and multiaged management can become blurred with</w:t>
      </w:r>
      <w:r>
        <w:t xml:space="preserve"> </w:t>
      </w:r>
      <w:r>
        <w:t xml:space="preserve">increasing patch size, but patches are generally much smaller (often less than 1</w:t>
      </w:r>
      <w:r>
        <w:t xml:space="preserve"> </w:t>
      </w:r>
      <w:r>
        <w:t xml:space="preserve">ha) than the stands they compose. The pursuit of multiaged stand structures has</w:t>
      </w:r>
      <w:r>
        <w:t xml:space="preserve"> </w:t>
      </w:r>
      <w:r>
        <w:t xml:space="preserve">often met with mixed results</w:t>
      </w:r>
      <w:r>
        <w:t xml:space="preserve"> </w:t>
      </w:r>
      <w:r>
        <w:t xml:space="preserve">(O’Hara, 2002)</w:t>
      </w:r>
      <w:r>
        <w:t xml:space="preserve"> </w:t>
      </w:r>
      <w:r>
        <w:t xml:space="preserve">and this</w:t>
      </w:r>
      <w:r>
        <w:t xml:space="preserve"> </w:t>
      </w:r>
      <w:r>
        <w:t xml:space="preserve">has led to the investigation of several different systems for achieving such</w:t>
      </w:r>
      <w:r>
        <w:t xml:space="preserve"> </w:t>
      </w:r>
      <w:r>
        <w:t xml:space="preserve">structures. Research into the efficacy and results associated with these is</w:t>
      </w:r>
      <w:r>
        <w:t xml:space="preserve"> </w:t>
      </w:r>
      <w:r>
        <w:t xml:space="preserve">ongoing</w:t>
      </w:r>
      <w:r>
        <w:t xml:space="preserve"> </w:t>
      </w:r>
      <w:r>
        <w:t xml:space="preserve">(Beese et al., 2019; Nolet et al., 2018)</w:t>
      </w:r>
      <w:r>
        <w:t xml:space="preserve">. One such</w:t>
      </w:r>
      <w:r>
        <w:t xml:space="preserve"> </w:t>
      </w:r>
      <w:r>
        <w:t xml:space="preserve">system that has gained popularity in recent decades is known as the retention</w:t>
      </w:r>
      <w:r>
        <w:t xml:space="preserve"> </w:t>
      </w:r>
      <w:r>
        <w:t xml:space="preserve">system, which allows for the retention of a range of tree densities, in</w:t>
      </w:r>
      <w:r>
        <w:t xml:space="preserve"> </w:t>
      </w:r>
      <w:r>
        <w:t xml:space="preserve">dispersed or aggregated spatial patterns and can be used to maintain, multiaged</w:t>
      </w:r>
      <w:r>
        <w:t xml:space="preserve"> </w:t>
      </w:r>
      <w:r>
        <w:t xml:space="preserve">stands, or convert from even-aged management</w:t>
      </w:r>
      <w:r>
        <w:t xml:space="preserve"> </w:t>
      </w:r>
      <w:r>
        <w:t xml:space="preserve">(S. J. Mitchell &amp; Beese, 2002)</w:t>
      </w:r>
      <w:r>
        <w:t xml:space="preserve">.</w:t>
      </w:r>
    </w:p>
    <w:p>
      <w:pPr>
        <w:pStyle w:val="BodyText"/>
      </w:pPr>
      <w:r>
        <w:t xml:space="preserve">Redwood forests offer a prime opportunity for multiaged management because coast</w:t>
      </w:r>
      <w:r>
        <w:t xml:space="preserve"> </w:t>
      </w:r>
      <w:r>
        <w:t xml:space="preserve">redwood (</w:t>
      </w:r>
      <w:r>
        <w:rPr>
          <w:iCs/>
          <w:i/>
        </w:rPr>
        <w:t xml:space="preserve">Sequoia sempervirens</w:t>
      </w:r>
      <w:r>
        <w:t xml:space="preserve">) regenerate reliably via stump sprouting and are</w:t>
      </w:r>
      <w:r>
        <w:t xml:space="preserve"> </w:t>
      </w:r>
      <w:r>
        <w:t xml:space="preserve">relatively shade tolerant. The very high leaf areas observed in these forests,</w:t>
      </w:r>
      <w:r>
        <w:t xml:space="preserve"> </w:t>
      </w:r>
      <w:r>
        <w:t xml:space="preserve">suggest their suitability for a multi-layered forest structure</w:t>
      </w:r>
      <w:r>
        <w:t xml:space="preserve"> </w:t>
      </w:r>
      <w:r>
        <w:t xml:space="preserve">(Berrill &amp; O’Hara, 2007; Van Pelt et al., 2016)</w:t>
      </w:r>
      <w:r>
        <w:t xml:space="preserve">.</w:t>
      </w:r>
      <w:r>
        <w:t xml:space="preserve"> </w:t>
      </w:r>
      <w:r>
        <w:t xml:space="preserve">Additionally, with their high timber value and productivity, Redwood forests are</w:t>
      </w:r>
      <w:r>
        <w:t xml:space="preserve"> </w:t>
      </w:r>
      <w:r>
        <w:t xml:space="preserve">of keen interest to private timber producers. Despite redwood’s fitness for</w:t>
      </w:r>
      <w:r>
        <w:t xml:space="preserve"> </w:t>
      </w:r>
      <w:r>
        <w:t xml:space="preserve">multiaged stand structures, the successful development of subordinate cohorts</w:t>
      </w:r>
      <w:r>
        <w:t xml:space="preserve"> </w:t>
      </w:r>
      <w:r>
        <w:t xml:space="preserve">depends on adequate access to light, and light deficiency can lead to reduced</w:t>
      </w:r>
      <w:r>
        <w:t xml:space="preserve"> </w:t>
      </w:r>
      <w:r>
        <w:t xml:space="preserve">vigor and mortality in young sprouts and understory trees</w:t>
      </w:r>
      <w:r>
        <w:t xml:space="preserve"> </w:t>
      </w:r>
      <w:r>
        <w:t xml:space="preserve">(Barrett, 1988; R. Muma et al., 2022; O’Hara et al., 2007; Webb et al., 2012)</w:t>
      </w:r>
      <w:r>
        <w:t xml:space="preserve">.</w:t>
      </w:r>
    </w:p>
    <w:p>
      <w:pPr>
        <w:pStyle w:val="BodyText"/>
      </w:pPr>
      <w:r>
        <w:t xml:space="preserve">Complicating redwood regeneration and sprout development is the fact that the</w:t>
      </w:r>
      <w:r>
        <w:t xml:space="preserve"> </w:t>
      </w:r>
      <w:r>
        <w:t xml:space="preserve">competing hardwood species, tanoak (</w:t>
      </w:r>
      <w:r>
        <w:rPr>
          <w:iCs/>
          <w:i/>
        </w:rPr>
        <w:t xml:space="preserve">Notholithocarpus densiflorus</w:t>
      </w:r>
      <w:r>
        <w:t xml:space="preserve">), is also</w:t>
      </w:r>
      <w:r>
        <w:t xml:space="preserve"> </w:t>
      </w:r>
      <w:r>
        <w:t xml:space="preserve">shade tolerant and a vigorous resprouter. Tanoak is a keystone species in terms</w:t>
      </w:r>
      <w:r>
        <w:t xml:space="preserve"> </w:t>
      </w:r>
      <w:r>
        <w:t xml:space="preserve">of wildlife habitat and First Nation’s cultural identities, but from a timber</w:t>
      </w:r>
      <w:r>
        <w:t xml:space="preserve"> </w:t>
      </w:r>
      <w:r>
        <w:t xml:space="preserve">production standpoint it is often perceived as a nuisance due to a lack of</w:t>
      </w:r>
      <w:r>
        <w:t xml:space="preserve"> </w:t>
      </w:r>
      <w:r>
        <w:t xml:space="preserve">market development combined with its widespread proliferation following</w:t>
      </w:r>
      <w:r>
        <w:t xml:space="preserve"> </w:t>
      </w:r>
      <w:r>
        <w:t xml:space="preserve">intensive, repeated conifer harvesting</w:t>
      </w:r>
      <w:r>
        <w:t xml:space="preserve"> </w:t>
      </w:r>
      <w:r>
        <w:t xml:space="preserve">(Bowcutt, 2011)</w:t>
      </w:r>
      <w:r>
        <w:t xml:space="preserve">. While</w:t>
      </w:r>
      <w:r>
        <w:t xml:space="preserve"> </w:t>
      </w:r>
      <w:r>
        <w:t xml:space="preserve">redwood grows more quickly than tanoak in multiaged stands, competition from</w:t>
      </w:r>
      <w:r>
        <w:t xml:space="preserve"> </w:t>
      </w:r>
      <w:r>
        <w:t xml:space="preserve">hardwoods such as tanoak reduce conifer growth and drought resistance</w:t>
      </w:r>
      <w:r>
        <w:t xml:space="preserve"> </w:t>
      </w:r>
      <w:r>
        <w:t xml:space="preserve">(Berrill et al., 2018; Dagley et al., 2023)</w:t>
      </w:r>
      <w:r>
        <w:t xml:space="preserve">. There has</w:t>
      </w:r>
      <w:r>
        <w:t xml:space="preserve"> </w:t>
      </w:r>
      <w:r>
        <w:t xml:space="preserve">been little scientific investigation into the development of tanaok under shade</w:t>
      </w:r>
      <w:r>
        <w:t xml:space="preserve"> </w:t>
      </w:r>
      <w:r>
        <w:t xml:space="preserve">(Waring &amp; O’Hara, 2008; Wilkinson et al., 1997)</w:t>
      </w:r>
      <w:r>
        <w:t xml:space="preserve">.</w:t>
      </w:r>
    </w:p>
    <w:bookmarkEnd w:id="22"/>
    <w:bookmarkStart w:id="26" w:name="management-effects-on-sprouting"/>
    <w:p>
      <w:pPr>
        <w:pStyle w:val="Heading2"/>
      </w:pPr>
      <w:r>
        <w:t xml:space="preserve">1.2 Management effects on sprouting</w:t>
      </w:r>
    </w:p>
    <w:p>
      <w:pPr>
        <w:pStyle w:val="FirstParagraph"/>
      </w:pPr>
      <w:r>
        <w:t xml:space="preserve">The most commonly used metrics for quantifying sprouting response are percent of</w:t>
      </w:r>
      <w:r>
        <w:t xml:space="preserve"> </w:t>
      </w:r>
      <w:r>
        <w:t xml:space="preserve">stumps sprouting following cutting, the sprout density or the number of sprouts</w:t>
      </w:r>
      <w:r>
        <w:t xml:space="preserve"> </w:t>
      </w:r>
      <w:r>
        <w:t xml:space="preserve">arising from a cut stump or within a sprout clump, and sprout development which</w:t>
      </w:r>
      <w:r>
        <w:t xml:space="preserve"> </w:t>
      </w:r>
      <w:r>
        <w:t xml:space="preserve">can include height and/or diameter.</w:t>
      </w:r>
    </w:p>
    <w:p>
      <w:pPr>
        <w:pStyle w:val="BodyText"/>
      </w:pPr>
      <w:r>
        <w:t xml:space="preserve">An important consideration in comparing sprout response across studies is the</w:t>
      </w:r>
      <w:r>
        <w:t xml:space="preserve"> </w:t>
      </w:r>
      <w:r>
        <w:t xml:space="preserve">time between treatment and measurement. Sprout growth in most species is</w:t>
      </w:r>
      <w:r>
        <w:t xml:space="preserve"> </w:t>
      </w:r>
      <w:r>
        <w:t xml:space="preserve">initiated by the mobilization of carbohydrates stored in the underground</w:t>
      </w:r>
      <w:r>
        <w:t xml:space="preserve"> </w:t>
      </w:r>
      <w:r>
        <w:t xml:space="preserve">portions of the tree</w:t>
      </w:r>
      <w:r>
        <w:t xml:space="preserve"> </w:t>
      </w:r>
      <w:r>
        <w:t xml:space="preserve">(Del Tredici, 2001)</w:t>
      </w:r>
      <w:r>
        <w:t xml:space="preserve">, and differences</w:t>
      </w:r>
      <w:r>
        <w:t xml:space="preserve"> </w:t>
      </w:r>
      <w:r>
        <w:t xml:space="preserve">resulting from external conditions may not be realized early in development.</w:t>
      </w:r>
      <w:r>
        <w:t xml:space="preserve"> </w:t>
      </w:r>
      <w:r>
        <w:t xml:space="preserve">Redwood sprout clumps can consist of 100 or more stems the first year after</w:t>
      </w:r>
      <w:r>
        <w:t xml:space="preserve"> </w:t>
      </w:r>
      <w:r>
        <w:t xml:space="preserve">cutting</w:t>
      </w:r>
      <w:r>
        <w:t xml:space="preserve"> </w:t>
      </w:r>
      <w:r>
        <w:t xml:space="preserve">(Neal, 1967)</w:t>
      </w:r>
      <w:r>
        <w:t xml:space="preserve">, but rapidly self-thin in full</w:t>
      </w:r>
      <w:r>
        <w:t xml:space="preserve"> </w:t>
      </w:r>
      <w:r>
        <w:t xml:space="preserve">light</w:t>
      </w:r>
      <w:r>
        <w:t xml:space="preserve"> </w:t>
      </w:r>
      <w:r>
        <w:t xml:space="preserve">(Boe, 1975)</w:t>
      </w:r>
      <w:r>
        <w:t xml:space="preserve">. With overstory competition, this loss</w:t>
      </w:r>
      <w:r>
        <w:t xml:space="preserve"> </w:t>
      </w:r>
      <w:r>
        <w:t xml:space="preserve">may proceed even more rapidly, possibly resulting in the mortality of the entire</w:t>
      </w:r>
      <w:r>
        <w:t xml:space="preserve"> </w:t>
      </w:r>
      <w:r>
        <w:t xml:space="preserve">clump</w:t>
      </w:r>
      <w:r>
        <w:t xml:space="preserve"> </w:t>
      </w:r>
      <w:r>
        <w:t xml:space="preserve">(O’Hara &amp; Berrill, 2010)</w:t>
      </w:r>
      <w:r>
        <w:t xml:space="preserve">. Whereas the thinning of sprout clumps,</w:t>
      </w:r>
      <w:r>
        <w:t xml:space="preserve"> </w:t>
      </w:r>
      <w:r>
        <w:t xml:space="preserve">whether from internal, or external competition may last 20-30 years in eastern</w:t>
      </w:r>
      <w:r>
        <w:t xml:space="preserve"> </w:t>
      </w:r>
      <w:r>
        <w:t xml:space="preserve">hardwoods</w:t>
      </w:r>
      <w:r>
        <w:t xml:space="preserve"> </w:t>
      </w:r>
      <w:r>
        <w:t xml:space="preserve">(Gould et al., 2007)</w:t>
      </w:r>
      <w:r>
        <w:t xml:space="preserve">, this process may occur over</w:t>
      </w:r>
      <w:r>
        <w:t xml:space="preserve"> </w:t>
      </w:r>
      <w:r>
        <w:t xml:space="preserve">hundreds of years in long-lived redwoods</w:t>
      </w:r>
      <w:r>
        <w:t xml:space="preserve"> </w:t>
      </w:r>
      <w:r>
        <w:t xml:space="preserve">(O’Hara et al., 2017)</w:t>
      </w:r>
      <w:r>
        <w:t xml:space="preserve">.</w:t>
      </w:r>
    </w:p>
    <w:p>
      <w:pPr>
        <w:pStyle w:val="BodyText"/>
      </w:pPr>
      <w:r>
        <w:t xml:space="preserve">Because the metrics of percent sprouting, sprout density, and sprout development</w:t>
      </w:r>
      <w:r>
        <w:t xml:space="preserve"> </w:t>
      </w:r>
      <w:r>
        <w:t xml:space="preserve">capture different characteristics of sprout response, they often vary with</w:t>
      </w:r>
      <w:r>
        <w:t xml:space="preserve"> </w:t>
      </w:r>
      <w:r>
        <w:t xml:space="preserve">factors such as species, site characteristics, overstory density, parent stump</w:t>
      </w:r>
      <w:r>
        <w:t xml:space="preserve"> </w:t>
      </w:r>
      <w:r>
        <w:t xml:space="preserve">age/diameter, and geographic province. Even when these variables are accounted</w:t>
      </w:r>
      <w:r>
        <w:t xml:space="preserve"> </w:t>
      </w:r>
      <w:r>
        <w:t xml:space="preserve">for, unexplained variation may remain between sites</w:t>
      </w:r>
      <w:r>
        <w:t xml:space="preserve"> </w:t>
      </w:r>
      <w:r>
        <w:t xml:space="preserve">(Keyser &amp; Loftis, 2015; Nieves et al., 2022)</w:t>
      </w:r>
      <w:r>
        <w:t xml:space="preserve">.</w:t>
      </w:r>
    </w:p>
    <w:bookmarkStart w:id="23" w:name="composition"/>
    <w:p>
      <w:pPr>
        <w:pStyle w:val="Heading3"/>
      </w:pPr>
      <w:r>
        <w:t xml:space="preserve">1.2.1 Composition</w:t>
      </w:r>
    </w:p>
    <w:p>
      <w:pPr>
        <w:pStyle w:val="FirstParagraph"/>
      </w:pPr>
      <w:r>
        <w:t xml:space="preserve">Due to their rapid initial growth, sprouting species may alter the composition</w:t>
      </w:r>
      <w:r>
        <w:t xml:space="preserve"> </w:t>
      </w:r>
      <w:r>
        <w:t xml:space="preserve">of a regenerating stand</w:t>
      </w:r>
      <w:r>
        <w:t xml:space="preserve"> </w:t>
      </w:r>
      <w:r>
        <w:t xml:space="preserve">(Del Tredici, 2001)</w:t>
      </w:r>
      <w:r>
        <w:t xml:space="preserve">. This can lead</w:t>
      </w:r>
      <w:r>
        <w:t xml:space="preserve"> </w:t>
      </w:r>
      <w:r>
        <w:t xml:space="preserve">to an increase in less desirable species</w:t>
      </w:r>
      <w:r>
        <w:t xml:space="preserve"> </w:t>
      </w:r>
      <w:r>
        <w:t xml:space="preserve">(Keyser &amp; Zarnoch, 2014)</w:t>
      </w:r>
      <w:r>
        <w:t xml:space="preserve">. In</w:t>
      </w:r>
      <w:r>
        <w:t xml:space="preserve"> </w:t>
      </w:r>
      <w:r>
        <w:t xml:space="preserve">redwood ecosystems, redwood sprouts typically outsize the stump sprouts of</w:t>
      </w:r>
      <w:r>
        <w:t xml:space="preserve"> </w:t>
      </w:r>
      <w:r>
        <w:t xml:space="preserve">tanoak, a common associate, in the first 5 years following partial harvest</w:t>
      </w:r>
      <w:r>
        <w:t xml:space="preserve"> </w:t>
      </w:r>
      <w:r>
        <w:t xml:space="preserve">(R. Muma et al., 2022)</w:t>
      </w:r>
      <w:r>
        <w:t xml:space="preserve">. It has yet to be seen how these dynamics might</w:t>
      </w:r>
      <w:r>
        <w:t xml:space="preserve"> </w:t>
      </w:r>
      <w:r>
        <w:t xml:space="preserve">change over time, or what their cumulative effect will be on the regeneration of</w:t>
      </w:r>
      <w:r>
        <w:t xml:space="preserve"> </w:t>
      </w:r>
      <w:r>
        <w:t xml:space="preserve">other species</w:t>
      </w:r>
      <w:r>
        <w:t xml:space="preserve"> </w:t>
      </w:r>
      <w:r>
        <w:t xml:space="preserve">(Berrill et al., 2018)</w:t>
      </w:r>
      <w:r>
        <w:t xml:space="preserve">. Various interactions</w:t>
      </w:r>
      <w:r>
        <w:t xml:space="preserve"> </w:t>
      </w:r>
      <w:r>
        <w:t xml:space="preserve">between treatments and other disturbance factors could lead to differences in</w:t>
      </w:r>
      <w:r>
        <w:t xml:space="preserve"> </w:t>
      </w:r>
      <w:r>
        <w:t xml:space="preserve">regeneration, such as in the case of deer browsing following the use of fire</w:t>
      </w:r>
      <w:r>
        <w:t xml:space="preserve"> </w:t>
      </w:r>
      <w:r>
        <w:t xml:space="preserve">(Wilkinson et al., 1997)</w:t>
      </w:r>
      <w:r>
        <w:t xml:space="preserve">, heavier deer browsing closer to</w:t>
      </w:r>
      <w:r>
        <w:t xml:space="preserve"> </w:t>
      </w:r>
      <w:r>
        <w:t xml:space="preserve">watercourses</w:t>
      </w:r>
      <w:r>
        <w:t xml:space="preserve"> </w:t>
      </w:r>
      <w:r>
        <w:t xml:space="preserve">(Schneider et al., 2023)</w:t>
      </w:r>
      <w:r>
        <w:t xml:space="preserve">, or bears preferentially</w:t>
      </w:r>
      <w:r>
        <w:t xml:space="preserve"> </w:t>
      </w:r>
      <w:r>
        <w:t xml:space="preserve">damaging regenerating conifers (especially redwoods) exhibiting rapid diameter</w:t>
      </w:r>
      <w:r>
        <w:t xml:space="preserve"> </w:t>
      </w:r>
      <w:r>
        <w:t xml:space="preserve">growth</w:t>
      </w:r>
      <w:r>
        <w:t xml:space="preserve"> </w:t>
      </w:r>
      <w:r>
        <w:t xml:space="preserve">(Berrill et al., 2017; Dagley et al., 2018)</w:t>
      </w:r>
      <w:r>
        <w:t xml:space="preserve">.</w:t>
      </w:r>
    </w:p>
    <w:bookmarkEnd w:id="23"/>
    <w:bookmarkStart w:id="24" w:name="sprout-growth"/>
    <w:p>
      <w:pPr>
        <w:pStyle w:val="Heading3"/>
      </w:pPr>
      <w:r>
        <w:t xml:space="preserve">1.2.2 Sprout growth</w:t>
      </w:r>
    </w:p>
    <w:p>
      <w:pPr>
        <w:pStyle w:val="FirstParagraph"/>
      </w:pPr>
      <w:r>
        <w:t xml:space="preserve">One of the clearest relationships among sprouting species is the positive one</w:t>
      </w:r>
      <w:r>
        <w:t xml:space="preserve"> </w:t>
      </w:r>
      <w:r>
        <w:t xml:space="preserve">between sprout growth and understory light</w:t>
      </w:r>
      <w:r>
        <w:t xml:space="preserve"> </w:t>
      </w:r>
      <w:r>
        <w:t xml:space="preserve">(Berrill et al., 2018; Gardiner &amp; Helmig, 1997; Keyser &amp; Zarnoch, 2014; Knapp et al., 2017)</w:t>
      </w:r>
      <w:r>
        <w:t xml:space="preserve">. Like most sprouting species, despite</w:t>
      </w:r>
      <w:r>
        <w:t xml:space="preserve"> </w:t>
      </w:r>
      <w:r>
        <w:t xml:space="preserve">redwoods shade tolerance it requires a certain threshold of light to maintain</w:t>
      </w:r>
      <w:r>
        <w:t xml:space="preserve"> </w:t>
      </w:r>
      <w:r>
        <w:t xml:space="preserve">growth</w:t>
      </w:r>
      <w:r>
        <w:t xml:space="preserve"> </w:t>
      </w:r>
      <w:r>
        <w:t xml:space="preserve">(O’Hara &amp; Berrill, 2010)</w:t>
      </w:r>
      <w:r>
        <w:t xml:space="preserve">. The effect of understory light is</w:t>
      </w:r>
      <w:r>
        <w:t xml:space="preserve"> </w:t>
      </w:r>
      <w:r>
        <w:t xml:space="preserve">weakest very early in development when growth is dominated by stored</w:t>
      </w:r>
      <w:r>
        <w:t xml:space="preserve"> </w:t>
      </w:r>
      <w:r>
        <w:t xml:space="preserve">carbohydrates in the parent stem and root system</w:t>
      </w:r>
      <w:r>
        <w:t xml:space="preserve"> </w:t>
      </w:r>
      <w:r>
        <w:t xml:space="preserve">(Gardiner &amp; Helmig, 1997; Keyser &amp; Loftis, 2015)</w:t>
      </w:r>
      <w:r>
        <w:t xml:space="preserve">.</w:t>
      </w:r>
    </w:p>
    <w:p>
      <w:pPr>
        <w:pStyle w:val="BodyText"/>
      </w:pPr>
      <w:r>
        <w:t xml:space="preserve">Sprout growth is also dependent on stump diameter, with larger stumps producing</w:t>
      </w:r>
      <w:r>
        <w:t xml:space="preserve"> </w:t>
      </w:r>
      <w:r>
        <w:t xml:space="preserve">more rapid growth. This has been observed in redwood and tanoak</w:t>
      </w:r>
      <w:r>
        <w:t xml:space="preserve"> </w:t>
      </w:r>
      <w:r>
        <w:t xml:space="preserve">(Berrill et al., 2018; Harrington et al., 1992)</w:t>
      </w:r>
      <w:r>
        <w:t xml:space="preserve"> </w:t>
      </w:r>
      <w:r>
        <w:t xml:space="preserve">and</w:t>
      </w:r>
      <w:r>
        <w:t xml:space="preserve"> </w:t>
      </w:r>
      <w:r>
        <w:t xml:space="preserve">is common among eastern hardwoods as well</w:t>
      </w:r>
      <w:r>
        <w:t xml:space="preserve"> </w:t>
      </w:r>
      <w:r>
        <w:t xml:space="preserve">Keyser &amp; Loftis (2015)</w:t>
      </w:r>
      <w:r>
        <w:t xml:space="preserve">, but varies among species</w:t>
      </w:r>
      <w:r>
        <w:t xml:space="preserve"> </w:t>
      </w:r>
      <w:r>
        <w:t xml:space="preserve">(Knapp et al., 2017)</w:t>
      </w:r>
      <w:r>
        <w:t xml:space="preserve">.</w:t>
      </w:r>
    </w:p>
    <w:bookmarkEnd w:id="24"/>
    <w:bookmarkStart w:id="25" w:name="percent-sprouting-and-number-of-sprouts"/>
    <w:p>
      <w:pPr>
        <w:pStyle w:val="Heading3"/>
      </w:pPr>
      <w:r>
        <w:t xml:space="preserve">1.2.3 Percent sprouting and number of sprouts</w:t>
      </w:r>
    </w:p>
    <w:p>
      <w:pPr>
        <w:pStyle w:val="FirstParagraph"/>
      </w:pPr>
      <w:r>
        <w:t xml:space="preserve">It is common among many sprouting species for percent of stumps sprouting after</w:t>
      </w:r>
      <w:r>
        <w:t xml:space="preserve"> </w:t>
      </w:r>
      <w:r>
        <w:t xml:space="preserve">cutting to decline with increasing tree size or age, but this effect is known to</w:t>
      </w:r>
      <w:r>
        <w:t xml:space="preserve"> </w:t>
      </w:r>
      <w:r>
        <w:t xml:space="preserve">vary by species and may be related to site factors as well.</w:t>
      </w:r>
      <w:r>
        <w:t xml:space="preserve"> </w:t>
      </w:r>
      <w:r>
        <w:t xml:space="preserve">(Johnson, 1977; Nieves et al., 2022)</w:t>
      </w:r>
      <w:r>
        <w:t xml:space="preserve">. In</w:t>
      </w:r>
      <w:r>
        <w:t xml:space="preserve"> </w:t>
      </w:r>
      <w:r>
        <w:t xml:space="preserve">redwoods, some authors have found evidence of this trend</w:t>
      </w:r>
      <w:r>
        <w:t xml:space="preserve"> </w:t>
      </w:r>
      <w:r>
        <w:t xml:space="preserve">(Neal, 1967; Wiant &amp; Powers, 1967)</w:t>
      </w:r>
      <w:r>
        <w:t xml:space="preserve">, while</w:t>
      </w:r>
      <w:r>
        <w:t xml:space="preserve"> </w:t>
      </w:r>
      <w:r>
        <w:t xml:space="preserve">others have not</w:t>
      </w:r>
      <w:r>
        <w:t xml:space="preserve"> </w:t>
      </w:r>
      <w:r>
        <w:t xml:space="preserve">(Barrette, 1966; Lindquist, 1979)</w:t>
      </w:r>
      <w:r>
        <w:t xml:space="preserve">. This may be due to the very wide range of</w:t>
      </w:r>
      <w:r>
        <w:t xml:space="preserve"> </w:t>
      </w:r>
      <w:r>
        <w:t xml:space="preserve">tree sizes and ages possible with redwoods. It has been suggested that percent of</w:t>
      </w:r>
      <w:r>
        <w:t xml:space="preserve"> </w:t>
      </w:r>
      <w:r>
        <w:t xml:space="preserve">stumps sprouting may initially increase with age up to a certain point, and then</w:t>
      </w:r>
      <w:r>
        <w:t xml:space="preserve"> </w:t>
      </w:r>
      <w:r>
        <w:t xml:space="preserve">decrease with trees older than around 200 to 400 years</w:t>
      </w:r>
      <w:r>
        <w:t xml:space="preserve"> </w:t>
      </w:r>
      <w:r>
        <w:t xml:space="preserve">(O’Hara et al., 2007; Powers &amp; Wiant, 1970)</w:t>
      </w:r>
      <w:r>
        <w:t xml:space="preserve">.</w:t>
      </w:r>
      <w:r>
        <w:t xml:space="preserve"> </w:t>
      </w:r>
      <w:r>
        <w:t xml:space="preserve">Decreasing percent sprouting has been demonstrated for tanoak, among other</w:t>
      </w:r>
      <w:r>
        <w:t xml:space="preserve"> </w:t>
      </w:r>
      <w:r>
        <w:t xml:space="preserve">coastal hardwoods</w:t>
      </w:r>
      <w:r>
        <w:t xml:space="preserve"> </w:t>
      </w:r>
      <w:r>
        <w:t xml:space="preserve">(Harrington et al., 1992)</w:t>
      </w:r>
      <w:r>
        <w:t xml:space="preserve">.</w:t>
      </w:r>
    </w:p>
    <w:p>
      <w:pPr>
        <w:pStyle w:val="BodyText"/>
      </w:pPr>
      <w:r>
        <w:t xml:space="preserve">Residual overstory density may affect the percent sprouting for some species and</w:t>
      </w:r>
      <w:r>
        <w:t xml:space="preserve"> </w:t>
      </w:r>
      <w:r>
        <w:t xml:space="preserve">locales, but detection of this effect has varied across studies and is sensitive</w:t>
      </w:r>
      <w:r>
        <w:t xml:space="preserve"> </w:t>
      </w:r>
      <w:r>
        <w:t xml:space="preserve">to the range of residual basal areas observed in a study</w:t>
      </w:r>
      <w:r>
        <w:t xml:space="preserve"> </w:t>
      </w:r>
      <w:r>
        <w:t xml:space="preserve">(Nieves et al., 2022)</w:t>
      </w:r>
      <w:r>
        <w:t xml:space="preserve">. Redwood studies have found this</w:t>
      </w:r>
      <w:r>
        <w:t xml:space="preserve"> </w:t>
      </w:r>
      <w:r>
        <w:t xml:space="preserve">phenomenon weak or absent</w:t>
      </w:r>
      <w:r>
        <w:t xml:space="preserve"> </w:t>
      </w:r>
      <w:r>
        <w:t xml:space="preserve">(Barrett, 1988; Lindquist, 1979)</w:t>
      </w:r>
      <w:r>
        <w:t xml:space="preserve">. The number of sprouts produced by a cut stump for</w:t>
      </w:r>
      <w:r>
        <w:t xml:space="preserve"> </w:t>
      </w:r>
      <w:r>
        <w:t xml:space="preserve">eastern hardwoods is usually not correlated with overstory density</w:t>
      </w:r>
      <w:r>
        <w:t xml:space="preserve"> </w:t>
      </w:r>
      <w:r>
        <w:t xml:space="preserve">(Atwood et al., 2009; Knapp et al., 2017)</w:t>
      </w:r>
      <w:r>
        <w:t xml:space="preserve">, and</w:t>
      </w:r>
      <w:r>
        <w:t xml:space="preserve"> </w:t>
      </w:r>
      <w:r>
        <w:t xml:space="preserve">this is assumed to be the case in redwood forests as well</w:t>
      </w:r>
      <w:r>
        <w:t xml:space="preserve"> </w:t>
      </w:r>
      <w:r>
        <w:t xml:space="preserve">(Lindquist, 1979; O’Hara &amp; Berrill, 2010)</w:t>
      </w:r>
      <w:r>
        <w:t xml:space="preserve">.</w:t>
      </w:r>
    </w:p>
    <w:p>
      <w:pPr>
        <w:pStyle w:val="BodyText"/>
      </w:pPr>
      <w:r>
        <w:t xml:space="preserve">After cutting, 90-100% of second-growth redwoods (trees smaller than 90 cm dbh)</w:t>
      </w:r>
      <w:r>
        <w:t xml:space="preserve"> </w:t>
      </w:r>
      <w:r>
        <w:t xml:space="preserve">can be expected to sprout</w:t>
      </w:r>
      <w:r>
        <w:t xml:space="preserve"> </w:t>
      </w:r>
      <w:r>
        <w:t xml:space="preserve">(Barrette, 1966; Lindquist, 1979)</w:t>
      </w:r>
      <w:r>
        <w:t xml:space="preserve">. However, when larger older</w:t>
      </w:r>
      <w:r>
        <w:t xml:space="preserve"> </w:t>
      </w:r>
      <w:r>
        <w:t xml:space="preserve">redwoods are cut, their stumps are less likely to resprout; percent sprouting</w:t>
      </w:r>
      <w:r>
        <w:t xml:space="preserve"> </w:t>
      </w:r>
      <w:r>
        <w:t xml:space="preserve">among larger older trees approaches 50%</w:t>
      </w:r>
      <w:r>
        <w:t xml:space="preserve"> </w:t>
      </w:r>
      <w:r>
        <w:t xml:space="preserve">(Boe, 1975; Neal, 1967)</w:t>
      </w:r>
      <w:r>
        <w:t xml:space="preserve">. Among cut stumps that do sprout, survival of</w:t>
      </w:r>
      <w:r>
        <w:t xml:space="preserve"> </w:t>
      </w:r>
      <w:r>
        <w:t xml:space="preserve">all the sprouts on a stump is not guaranteed. Entire sprout clumps can die</w:t>
      </w:r>
      <w:r>
        <w:t xml:space="preserve"> </w:t>
      </w:r>
      <w:r>
        <w:t xml:space="preserve">quickly in low light environments</w:t>
      </w:r>
      <w:r>
        <w:t xml:space="preserve"> </w:t>
      </w:r>
      <w:r>
        <w:t xml:space="preserve">(O’Hara &amp; Berrill, 2010)</w:t>
      </w:r>
      <w:r>
        <w:t xml:space="preserve">. The survival</w:t>
      </w:r>
      <w:r>
        <w:t xml:space="preserve"> </w:t>
      </w:r>
      <w:r>
        <w:t xml:space="preserve">of these new sprouts in each subsequent year is a function of overstory density,</w:t>
      </w:r>
      <w:r>
        <w:t xml:space="preserve"> </w:t>
      </w:r>
      <w:r>
        <w:t xml:space="preserve">especially when approaching closure of the overstory. Percent sprouting has also</w:t>
      </w:r>
      <w:r>
        <w:t xml:space="preserve"> </w:t>
      </w:r>
      <w:r>
        <w:t xml:space="preserve">been found to vary by site and regional factors</w:t>
      </w:r>
      <w:r>
        <w:t xml:space="preserve"> </w:t>
      </w:r>
      <w:r>
        <w:t xml:space="preserve">(Keyser &amp; Loftis, 2015; Nieves et al., 2022)</w:t>
      </w:r>
      <w:r>
        <w:t xml:space="preserve">. These have</w:t>
      </w:r>
      <w:r>
        <w:t xml:space="preserve"> </w:t>
      </w:r>
      <w:r>
        <w:t xml:space="preserve">not been explored for redwoods, but they represent a possible set of confounding</w:t>
      </w:r>
      <w:r>
        <w:t xml:space="preserve"> </w:t>
      </w:r>
      <w:r>
        <w:t xml:space="preserve">factors in the detection of sprouting trends.</w:t>
      </w:r>
    </w:p>
    <w:bookmarkEnd w:id="25"/>
    <w:bookmarkEnd w:id="26"/>
    <w:bookmarkStart w:id="28" w:name="forest-fuels"/>
    <w:p>
      <w:pPr>
        <w:pStyle w:val="Heading2"/>
      </w:pPr>
      <w:r>
        <w:t xml:space="preserve">1.3 Forest fuels</w:t>
      </w:r>
    </w:p>
    <w:p>
      <w:pPr>
        <w:pStyle w:val="FirstParagraph"/>
      </w:pPr>
      <w:r>
        <w:t xml:space="preserve">Throughout many of the fire-adapted forests of California, fire exclusion</w:t>
      </w:r>
      <w:r>
        <w:t xml:space="preserve"> </w:t>
      </w:r>
      <w:r>
        <w:t xml:space="preserve">combined with timber harvest has led to dense, younger stand—often comprised</w:t>
      </w:r>
      <w:r>
        <w:t xml:space="preserve"> </w:t>
      </w:r>
      <w:r>
        <w:t xml:space="preserve">of suppressed trees—proliferation of more fire-sensitive species, and an</w:t>
      </w:r>
      <w:r>
        <w:t xml:space="preserve"> </w:t>
      </w:r>
      <w:r>
        <w:t xml:space="preserve">accumulation of surface fuels</w:t>
      </w:r>
      <w:r>
        <w:t xml:space="preserve"> </w:t>
      </w:r>
      <w:r>
        <w:t xml:space="preserve">(Safford &amp; Stevens, 2017; Stephens et al., 2009)</w:t>
      </w:r>
      <w:r>
        <w:t xml:space="preserve">. This situation combined with climate change</w:t>
      </w:r>
      <w:r>
        <w:t xml:space="preserve"> </w:t>
      </w:r>
      <w:r>
        <w:t xml:space="preserve">has led to increased size and frequency of high-severity fires in many regions</w:t>
      </w:r>
      <w:r>
        <w:t xml:space="preserve"> </w:t>
      </w:r>
      <w:r>
        <w:t xml:space="preserve">(Parks &amp; Abatzoglou, 2020; Westerling, 2016)</w:t>
      </w:r>
      <w:r>
        <w:t xml:space="preserve">, prompting</w:t>
      </w:r>
      <w:r>
        <w:t xml:space="preserve"> </w:t>
      </w:r>
      <w:r>
        <w:t xml:space="preserve">widespread interest in fuel treatments and resilient stand structures.</w:t>
      </w:r>
    </w:p>
    <w:p>
      <w:pPr>
        <w:pStyle w:val="BodyText"/>
      </w:pPr>
      <w:r>
        <w:t xml:space="preserve">This interest has seen less momentum in the redwood region, likely due to the</w:t>
      </w:r>
      <w:r>
        <w:t xml:space="preserve"> </w:t>
      </w:r>
      <w:r>
        <w:t xml:space="preserve">perceived safety of these typically moist forests from the threat of large</w:t>
      </w:r>
      <w:r>
        <w:t xml:space="preserve"> </w:t>
      </w:r>
      <w:r>
        <w:t xml:space="preserve">wildfires. Yet redwood litter is among the most flammable of conifer litter</w:t>
      </w:r>
      <w:r>
        <w:t xml:space="preserve"> </w:t>
      </w:r>
      <w:r>
        <w:t xml:space="preserve">types</w:t>
      </w:r>
      <w:r>
        <w:t xml:space="preserve"> </w:t>
      </w:r>
      <w:r>
        <w:t xml:space="preserve">(Fonda et al., 1998)</w:t>
      </w:r>
      <w:r>
        <w:t xml:space="preserve">, seasonal drought leads to cured</w:t>
      </w:r>
      <w:r>
        <w:t xml:space="preserve"> </w:t>
      </w:r>
      <w:r>
        <w:t xml:space="preserve">fuels, especially during extended breaks in coastal fog</w:t>
      </w:r>
      <w:r>
        <w:t xml:space="preserve"> </w:t>
      </w:r>
      <w:r>
        <w:t xml:space="preserve">(Jacobs et al., 1985)</w:t>
      </w:r>
      <w:r>
        <w:t xml:space="preserve">, and numerous physiological adaptations</w:t>
      </w:r>
      <w:r>
        <w:t xml:space="preserve"> </w:t>
      </w:r>
      <w:r>
        <w:t xml:space="preserve">suggest that redwood has evolved under fire disturbance pressure</w:t>
      </w:r>
      <w:r>
        <w:t xml:space="preserve"> </w:t>
      </w:r>
      <w:r>
        <w:t xml:space="preserve">(Varner &amp; Jules, 2017)</w:t>
      </w:r>
      <w:r>
        <w:t xml:space="preserve">. More concretely, there have been at least six</w:t>
      </w:r>
      <w:r>
        <w:t xml:space="preserve"> </w:t>
      </w:r>
      <w:r>
        <w:t xml:space="preserve">large fires in redwood ecosystems since 2003, burning at least 189,000 ha</w:t>
      </w:r>
      <w:r>
        <w:t xml:space="preserve"> </w:t>
      </w:r>
      <w:r>
        <w:t xml:space="preserve">including widespread areas of canopy loss. Scientific consensus places the</w:t>
      </w:r>
      <w:r>
        <w:t xml:space="preserve"> </w:t>
      </w:r>
      <w:r>
        <w:t xml:space="preserve">pre-colonization fire return interval for redwood forests at 6-25 years across</w:t>
      </w:r>
      <w:r>
        <w:t xml:space="preserve"> </w:t>
      </w:r>
      <w:r>
        <w:t xml:space="preserve">their range</w:t>
      </w:r>
      <w:r>
        <w:t xml:space="preserve"> </w:t>
      </w:r>
      <w:r>
        <w:t xml:space="preserve">(Lorimer et al., 2009)</w:t>
      </w:r>
      <w:r>
        <w:t xml:space="preserve">. It is assumed that</w:t>
      </w:r>
      <w:r>
        <w:t xml:space="preserve"> </w:t>
      </w:r>
      <w:r>
        <w:t xml:space="preserve">much of this activity is attributable to indigenous burning</w:t>
      </w:r>
      <w:r>
        <w:t xml:space="preserve"> </w:t>
      </w:r>
      <w:r>
        <w:t xml:space="preserve">(Varner &amp; Jules, 2017)</w:t>
      </w:r>
      <w:r>
        <w:t xml:space="preserve">.</w:t>
      </w:r>
    </w:p>
    <w:p>
      <w:pPr>
        <w:pStyle w:val="BodyText"/>
      </w:pPr>
      <w:r>
        <w:t xml:space="preserve">TODO: summarize fuel loading in various classes found by these studies</w:t>
      </w:r>
    </w:p>
    <w:p>
      <w:pPr>
        <w:pStyle w:val="BodyText"/>
      </w:pPr>
      <w:r>
        <w:t xml:space="preserve">There have been several studies that have quantified various fuel strata in</w:t>
      </w:r>
      <w:r>
        <w:t xml:space="preserve"> </w:t>
      </w:r>
      <w:r>
        <w:t xml:space="preserve">redwood forests.</w:t>
      </w:r>
      <w:r>
        <w:t xml:space="preserve"> </w:t>
      </w:r>
      <w:r>
        <w:t xml:space="preserve">Kittredge (1940)</w:t>
      </w:r>
      <w:r>
        <w:t xml:space="preserve"> </w:t>
      </w:r>
      <w:r>
        <w:t xml:space="preserve">did so for duff and litter</w:t>
      </w:r>
      <w:r>
        <w:t xml:space="preserve"> </w:t>
      </w:r>
      <w:r>
        <w:t xml:space="preserve">in a redwood plantation.</w:t>
      </w:r>
      <w:r>
        <w:t xml:space="preserve"> </w:t>
      </w:r>
      <w:r>
        <w:t xml:space="preserve">Greenlee (1983)</w:t>
      </w:r>
      <w:r>
        <w:t xml:space="preserve"> </w:t>
      </w:r>
      <w:r>
        <w:t xml:space="preserve">studied fuels at Big</w:t>
      </w:r>
      <w:r>
        <w:t xml:space="preserve"> </w:t>
      </w:r>
      <w:r>
        <w:t xml:space="preserve">Basin State Park.</w:t>
      </w:r>
      <w:r>
        <w:t xml:space="preserve"> </w:t>
      </w:r>
      <w:r>
        <w:t xml:space="preserve">Stuart (1985)</w:t>
      </w:r>
      <w:r>
        <w:t xml:space="preserve"> </w:t>
      </w:r>
      <w:r>
        <w:t xml:space="preserve">reported on fuels at Humboldt</w:t>
      </w:r>
      <w:r>
        <w:t xml:space="preserve"> </w:t>
      </w:r>
      <w:r>
        <w:t xml:space="preserve">Redwoods State Park. Finney and Martin</w:t>
      </w:r>
      <w:r>
        <w:t xml:space="preserve"> </w:t>
      </w:r>
      <w:r>
        <w:t xml:space="preserve">(1993a, 1993b)</w:t>
      </w:r>
      <w:r>
        <w:t xml:space="preserve"> </w:t>
      </w:r>
      <w:r>
        <w:t xml:space="preserve">reported on fuels in second-growth</w:t>
      </w:r>
      <w:r>
        <w:t xml:space="preserve"> </w:t>
      </w:r>
      <w:r>
        <w:t xml:space="preserve">redwood forests (aged ~100 years) at Annadel and Humboldt Redwoods State Parks.</w:t>
      </w:r>
      <w:r>
        <w:t xml:space="preserve"> </w:t>
      </w:r>
      <w:r>
        <w:t xml:space="preserve">Graham (2009)</w:t>
      </w:r>
      <w:r>
        <w:t xml:space="preserve"> </w:t>
      </w:r>
      <w:r>
        <w:t xml:space="preserve">reported on fuels in old-growth stands across</w:t>
      </w:r>
      <w:r>
        <w:t xml:space="preserve"> </w:t>
      </w:r>
      <w:r>
        <w:t xml:space="preserve">redwood’s range.</w:t>
      </w:r>
      <w:r>
        <w:t xml:space="preserve"> </w:t>
      </w:r>
      <w:r>
        <w:t xml:space="preserve">Glebocki (2015)</w:t>
      </w:r>
      <w:r>
        <w:t xml:space="preserve"> </w:t>
      </w:r>
      <w:r>
        <w:t xml:space="preserve">studied fuels with and without</w:t>
      </w:r>
      <w:r>
        <w:t xml:space="preserve"> </w:t>
      </w:r>
      <w:r>
        <w:t xml:space="preserve">thinning treatments in young (&lt; 50 years) redwood-Douglas fir stands. No fuel</w:t>
      </w:r>
      <w:r>
        <w:t xml:space="preserve"> </w:t>
      </w:r>
      <w:r>
        <w:t xml:space="preserve">studies, to my knowledge, have been conducted in redwood forests actively</w:t>
      </w:r>
      <w:r>
        <w:t xml:space="preserve"> </w:t>
      </w:r>
      <w:r>
        <w:t xml:space="preserve">managed with multiaged silviculture, but fuel dynamics represent a potentially</w:t>
      </w:r>
      <w:r>
        <w:t xml:space="preserve"> </w:t>
      </w:r>
      <w:r>
        <w:t xml:space="preserve">important decision variable to consider when managing forest stands that may be</w:t>
      </w:r>
      <w:r>
        <w:t xml:space="preserve"> </w:t>
      </w:r>
      <w:r>
        <w:t xml:space="preserve">subjected to intentional or unintentional fire.</w:t>
      </w:r>
    </w:p>
    <w:bookmarkStart w:id="27" w:name="management-effects-on-fuels"/>
    <w:p>
      <w:pPr>
        <w:pStyle w:val="Heading3"/>
      </w:pPr>
      <w:r>
        <w:t xml:space="preserve">1.3.1 Management effects on fuels</w:t>
      </w:r>
    </w:p>
    <w:p>
      <w:pPr>
        <w:pStyle w:val="FirstParagraph"/>
      </w:pPr>
      <w:r>
        <w:t xml:space="preserve">Depending on the method used, thinning and harvest treatments may increase, or</w:t>
      </w:r>
      <w:r>
        <w:t xml:space="preserve"> </w:t>
      </w:r>
      <w:r>
        <w:t xml:space="preserve">not affect surface fuel loading. Whole tree removal results in the least</w:t>
      </w:r>
      <w:r>
        <w:t xml:space="preserve"> </w:t>
      </w:r>
      <w:r>
        <w:t xml:space="preserve">fuel accumulation but is more expensive than other options</w:t>
      </w:r>
      <w:r>
        <w:t xml:space="preserve"> </w:t>
      </w:r>
      <w:r>
        <w:t xml:space="preserve">(Han &amp; Han, 2020)</w:t>
      </w:r>
      <w:r>
        <w:t xml:space="preserve">. Most other treatment methods</w:t>
      </w:r>
      <w:r>
        <w:t xml:space="preserve"> </w:t>
      </w:r>
      <w:r>
        <w:t xml:space="preserve">increase surface fuels</w:t>
      </w:r>
      <w:r>
        <w:t xml:space="preserve"> </w:t>
      </w:r>
      <w:r>
        <w:t xml:space="preserve">(Agee &amp; Skinner, 2005; Stephens et al., 2009)</w:t>
      </w:r>
      <w:r>
        <w:t xml:space="preserve">. The magnitude of this increase is variable,</w:t>
      </w:r>
      <w:r>
        <w:t xml:space="preserve"> </w:t>
      </w:r>
      <w:r>
        <w:t xml:space="preserve">reflecting factors such as treatment mode, intensity, and pre-existing</w:t>
      </w:r>
      <w:r>
        <w:t xml:space="preserve"> </w:t>
      </w:r>
      <w:r>
        <w:t xml:space="preserve">conditions</w:t>
      </w:r>
      <w:r>
        <w:t xml:space="preserve"> </w:t>
      </w:r>
      <w:r>
        <w:t xml:space="preserve">(Schwilk et al., 2009)</w:t>
      </w:r>
      <w:r>
        <w:t xml:space="preserve">. Additional research is needed to</w:t>
      </w:r>
      <w:r>
        <w:t xml:space="preserve"> </w:t>
      </w:r>
      <w:r>
        <w:t xml:space="preserve">clarify the effects of these factors on short</w:t>
      </w:r>
      <w:r>
        <w:t xml:space="preserve"> </w:t>
      </w:r>
      <w:r>
        <w:t xml:space="preserve">(Hood et al., 2020; Schwilk et al., 2009; Stephens et al., 2009)</w:t>
      </w:r>
      <w:r>
        <w:t xml:space="preserve">, and</w:t>
      </w:r>
      <w:r>
        <w:t xml:space="preserve"> </w:t>
      </w:r>
      <w:r>
        <w:t xml:space="preserve">long-term changes to surface fuel load resulting from specific management</w:t>
      </w:r>
      <w:r>
        <w:t xml:space="preserve"> </w:t>
      </w:r>
      <w:r>
        <w:t xml:space="preserve">actions</w:t>
      </w:r>
      <w:r>
        <w:t xml:space="preserve"> </w:t>
      </w:r>
      <w:r>
        <w:t xml:space="preserve">(Hood et al., 2020; Stephens et al., 2012)</w:t>
      </w:r>
      <w:r>
        <w:t xml:space="preserve">.</w:t>
      </w:r>
    </w:p>
    <w:p>
      <w:pPr>
        <w:pStyle w:val="BodyText"/>
      </w:pPr>
      <w:r>
        <w:t xml:space="preserve">The majority of fine dead fuels (&lt; 8 cm) generated by treatment activities typically</w:t>
      </w:r>
      <w:r>
        <w:t xml:space="preserve"> </w:t>
      </w:r>
      <w:r>
        <w:t xml:space="preserve">decompose within 10 years</w:t>
      </w:r>
      <w:r>
        <w:t xml:space="preserve"> </w:t>
      </w:r>
      <w:r>
        <w:t xml:space="preserve">(Burton et al., 2022; Hood et al., 2020; Martinson &amp; Omi, 2013; O’Hara et al., 2017; Stephens et al., 2012)</w:t>
      </w:r>
      <w:r>
        <w:t xml:space="preserve">. But</w:t>
      </w:r>
      <w:r>
        <w:t xml:space="preserve"> </w:t>
      </w:r>
      <w:r>
        <w:t xml:space="preserve">live woody fuels, which respond vigorously to increased growing space, often</w:t>
      </w:r>
      <w:r>
        <w:t xml:space="preserve"> </w:t>
      </w:r>
      <w:r>
        <w:t xml:space="preserve">persist or increase over time</w:t>
      </w:r>
      <w:r>
        <w:t xml:space="preserve"> </w:t>
      </w:r>
      <w:r>
        <w:t xml:space="preserve">(Keyes &amp; Varner, 2006)</w:t>
      </w:r>
      <w:r>
        <w:t xml:space="preserve">. The</w:t>
      </w:r>
      <w:r>
        <w:t xml:space="preserve"> </w:t>
      </w:r>
      <w:r>
        <w:t xml:space="preserve">nature of this response depends on eco-type and the amount of growing space</w:t>
      </w:r>
      <w:r>
        <w:t xml:space="preserve"> </w:t>
      </w:r>
      <w:r>
        <w:t xml:space="preserve">created by the treatment which can become dominated by herbaceous plants</w:t>
      </w:r>
      <w:r>
        <w:t xml:space="preserve"> </w:t>
      </w:r>
      <w:r>
        <w:t xml:space="preserve">(Vilà-Vilardell et al., 2023)</w:t>
      </w:r>
      <w:r>
        <w:t xml:space="preserve">, shrubs</w:t>
      </w:r>
      <w:r>
        <w:t xml:space="preserve"> </w:t>
      </w:r>
      <w:r>
        <w:t xml:space="preserve">(Odland et al., 2021)</w:t>
      </w:r>
      <w:r>
        <w:t xml:space="preserve">, or small trees</w:t>
      </w:r>
      <w:r>
        <w:t xml:space="preserve"> </w:t>
      </w:r>
      <w:r>
        <w:t xml:space="preserve">(Hood et al., 2020)</w:t>
      </w:r>
      <w:r>
        <w:t xml:space="preserve">.</w:t>
      </w:r>
    </w:p>
    <w:p>
      <w:pPr>
        <w:pStyle w:val="BodyText"/>
      </w:pPr>
      <w:r>
        <w:t xml:space="preserve">Overtime duff and litter loads are frequently lower in more open stands than</w:t>
      </w:r>
      <w:r>
        <w:t xml:space="preserve"> </w:t>
      </w:r>
      <w:r>
        <w:t xml:space="preserve">stands with a more closed canopy. This may result from increased decomposition</w:t>
      </w:r>
      <w:r>
        <w:t xml:space="preserve"> </w:t>
      </w:r>
      <w:r>
        <w:t xml:space="preserve">rates due to greater insolation and increased throughfall, or reduced deposition</w:t>
      </w:r>
      <w:r>
        <w:t xml:space="preserve"> </w:t>
      </w:r>
      <w:r>
        <w:t xml:space="preserve">rates resulting from fewer canopy fuels</w:t>
      </w:r>
      <w:r>
        <w:t xml:space="preserve"> </w:t>
      </w:r>
      <w:r>
        <w:t xml:space="preserve">(Hood et al., 2020; Keane, 2008)</w:t>
      </w:r>
      <w:r>
        <w:t xml:space="preserve">.</w:t>
      </w:r>
    </w:p>
    <w:p>
      <w:pPr>
        <w:pStyle w:val="BodyText"/>
      </w:pPr>
      <w:r>
        <w:t xml:space="preserve">Most fuel reduction thinning research focuses on ponderosa pine (Pinus</w:t>
      </w:r>
      <w:r>
        <w:t xml:space="preserve"> </w:t>
      </w:r>
      <w:r>
        <w:t xml:space="preserve">ponderosa) forests in the United States, with additional studies from other</w:t>
      </w:r>
      <w:r>
        <w:t xml:space="preserve"> </w:t>
      </w:r>
      <w:r>
        <w:t xml:space="preserve">Mediterranean and semi-arid regions</w:t>
      </w:r>
      <w:r>
        <w:t xml:space="preserve"> </w:t>
      </w:r>
      <w:r>
        <w:t xml:space="preserve">(Burton et al., 2022; Schwilk et al., 2009; Vilà-Vilardell et al., 2023)</w:t>
      </w:r>
      <w:r>
        <w:t xml:space="preserve">. Far</w:t>
      </w:r>
      <w:r>
        <w:t xml:space="preserve"> </w:t>
      </w:r>
      <w:r>
        <w:t xml:space="preserve">fewer studies have been conducted in coastal forests.</w:t>
      </w:r>
    </w:p>
    <w:bookmarkEnd w:id="27"/>
    <w:bookmarkEnd w:id="28"/>
    <w:bookmarkStart w:id="29" w:name="pyrosilviculture"/>
    <w:p>
      <w:pPr>
        <w:pStyle w:val="Heading2"/>
      </w:pPr>
      <w:r>
        <w:t xml:space="preserve">1.4 Pyrosilviculture</w:t>
      </w:r>
    </w:p>
    <w:p>
      <w:pPr>
        <w:pStyle w:val="FirstParagraph"/>
      </w:pPr>
      <w:r>
        <w:t xml:space="preserve">Forest management for timber and other objectives and prescribed and wild fire</w:t>
      </w:r>
      <w:r>
        <w:t xml:space="preserve"> </w:t>
      </w:r>
      <w:r>
        <w:t xml:space="preserve">are inherently interlinked. This requires research which considers these</w:t>
      </w:r>
      <w:r>
        <w:t xml:space="preserve"> </w:t>
      </w:r>
      <w:r>
        <w:t xml:space="preserve">historically disjunct realms of research in a wholistic way. Fire informed and</w:t>
      </w:r>
      <w:r>
        <w:t xml:space="preserve"> </w:t>
      </w:r>
      <w:r>
        <w:t xml:space="preserve">fire dependent silviculture has been a hallmark of traditional forest</w:t>
      </w:r>
      <w:r>
        <w:t xml:space="preserve"> </w:t>
      </w:r>
      <w:r>
        <w:t xml:space="preserve">stewardship practices for indigenous across northern California since time</w:t>
      </w:r>
      <w:r>
        <w:t xml:space="preserve"> </w:t>
      </w:r>
      <w:r>
        <w:t xml:space="preserve">immemorial</w:t>
      </w:r>
      <w:r>
        <w:t xml:space="preserve"> </w:t>
      </w:r>
      <w:r>
        <w:t xml:space="preserve">(Anderson, 2013)</w:t>
      </w:r>
      <w:r>
        <w:t xml:space="preserve">. Fire informed silviculture has</w:t>
      </w:r>
      <w:r>
        <w:t xml:space="preserve"> </w:t>
      </w:r>
      <w:r>
        <w:t xml:space="preserve">also been practiced and researched in the Southeastern U.S. for around 100</w:t>
      </w:r>
      <w:r>
        <w:t xml:space="preserve"> </w:t>
      </w:r>
      <w:r>
        <w:t xml:space="preserve">years</w:t>
      </w:r>
      <w:r>
        <w:t xml:space="preserve"> </w:t>
      </w:r>
      <w:r>
        <w:t xml:space="preserve">(R. J. Mitchell et al., 2009)</w:t>
      </w:r>
      <w:r>
        <w:t xml:space="preserve">. The American west has been</w:t>
      </w:r>
      <w:r>
        <w:t xml:space="preserve"> </w:t>
      </w:r>
      <w:r>
        <w:t xml:space="preserve">slower to embrace this paradigm shift in thinking now termed</w:t>
      </w:r>
      <w:r>
        <w:t xml:space="preserve"> </w:t>
      </w:r>
      <w:r>
        <w:t xml:space="preserve">“</w:t>
      </w:r>
      <w:r>
        <w:t xml:space="preserve">pyrosilviculture</w:t>
      </w:r>
      <w:r>
        <w:t xml:space="preserve">”</w:t>
      </w:r>
      <w:r>
        <w:t xml:space="preserve"> </w:t>
      </w:r>
      <w:r>
        <w:t xml:space="preserve">(North et al., 2021)</w:t>
      </w:r>
      <w:r>
        <w:t xml:space="preserve">. It is my hope that this thesis</w:t>
      </w:r>
      <w:r>
        <w:t xml:space="preserve"> </w:t>
      </w:r>
      <w:r>
        <w:t xml:space="preserve">serve as an example of bridging the gap between the art and science of growing</w:t>
      </w:r>
      <w:r>
        <w:t xml:space="preserve"> </w:t>
      </w:r>
      <w:r>
        <w:t xml:space="preserve">trees to support multiple uses and the thinning and burning practices typically</w:t>
      </w:r>
      <w:r>
        <w:t xml:space="preserve"> </w:t>
      </w:r>
      <w:r>
        <w:t xml:space="preserve">regarded as</w:t>
      </w:r>
      <w:r>
        <w:t xml:space="preserve"> </w:t>
      </w:r>
      <w:r>
        <w:t xml:space="preserve">“</w:t>
      </w:r>
      <w:r>
        <w:t xml:space="preserve">fuels management</w:t>
      </w:r>
      <w:r>
        <w:t xml:space="preserve">”</w:t>
      </w:r>
      <w:r>
        <w:t xml:space="preserve"> </w:t>
      </w:r>
      <w:r>
        <w:t xml:space="preserve">activities</w:t>
      </w:r>
      <w:r>
        <w:t xml:space="preserve"> </w:t>
      </w:r>
      <w:r>
        <w:t xml:space="preserve">(York et al., 2021)</w:t>
      </w:r>
      <w:r>
        <w:t xml:space="preserve">. The ability to envision</w:t>
      </w:r>
      <w:r>
        <w:t xml:space="preserve"> </w:t>
      </w:r>
      <w:r>
        <w:t xml:space="preserve">these realms of understanding as integral and essential pieces of a common</w:t>
      </w:r>
      <w:r>
        <w:t xml:space="preserve"> </w:t>
      </w:r>
      <w:r>
        <w:t xml:space="preserve">forest stewardship will lead to new insights and increase our capacity for</w:t>
      </w:r>
      <w:r>
        <w:t xml:space="preserve"> </w:t>
      </w:r>
      <w:r>
        <w:t xml:space="preserve">better land management.</w:t>
      </w:r>
    </w:p>
    <w:bookmarkEnd w:id="29"/>
    <w:bookmarkEnd w:id="30"/>
    <w:bookmarkStart w:id="52" w:name="methods"/>
    <w:p>
      <w:pPr>
        <w:pStyle w:val="Heading1"/>
      </w:pPr>
      <w:r>
        <w:t xml:space="preserve">2. Methods</w:t>
      </w:r>
    </w:p>
    <w:bookmarkStart w:id="35" w:name="site-description"/>
    <w:p>
      <w:pPr>
        <w:pStyle w:val="Heading2"/>
      </w:pPr>
      <w:r>
        <w:t xml:space="preserve">2.1 Site description</w:t>
      </w:r>
    </w:p>
    <w:p>
      <w:pPr>
        <w:pStyle w:val="FirstParagraph"/>
      </w:pPr>
      <w:r>
        <w:t xml:space="preserve">Situated within the unceded ancestral territory of the Northern Pomo, near the</w:t>
      </w:r>
      <w:r>
        <w:t xml:space="preserve"> </w:t>
      </w:r>
      <w:r>
        <w:t xml:space="preserve">coast of Norther California, the 20,000-ha Jackson Demonstration State Forest</w:t>
      </w:r>
      <w:r>
        <w:t xml:space="preserve"> </w:t>
      </w:r>
      <w:r>
        <w:t xml:space="preserve">was established in 1947 after being cut over multiple times starting in 1862.</w:t>
      </w:r>
      <w:r>
        <w:t xml:space="preserve"> </w:t>
      </w:r>
      <w:r>
        <w:t xml:space="preserve">The mission of the JDSF is to remain in timber production for research and</w:t>
      </w:r>
      <w:r>
        <w:t xml:space="preserve"> </w:t>
      </w:r>
      <w:r>
        <w:t xml:space="preserve">demonstration purposes. The predominant cover type is redwood, tanoak, and</w:t>
      </w:r>
      <w:r>
        <w:t xml:space="preserve"> </w:t>
      </w:r>
      <w:r>
        <w:t xml:space="preserve">Douglas-fir forest at elevations ranging from 20 m near the coast to 700 m</w:t>
      </w:r>
      <w:r>
        <w:t xml:space="preserve"> </w:t>
      </w:r>
      <w:r>
        <w:t xml:space="preserve">inland. The climate is Mediterranean with cool, wet winters and an average</w:t>
      </w:r>
      <w:r>
        <w:t xml:space="preserve"> </w:t>
      </w:r>
      <w:r>
        <w:t xml:space="preserve">annual precipitation of about 1150 mm. The sites that compose our experiment</w:t>
      </w:r>
      <w:r>
        <w:t xml:space="preserve"> </w:t>
      </w:r>
      <w:r>
        <w:t xml:space="preserve">were all redwood dominated with significant components of tanoak and Douglas fir</w:t>
      </w:r>
      <w:r>
        <w:t xml:space="preserve"> </w:t>
      </w:r>
      <w:r>
        <w:t xml:space="preserve">and were well stocked with trees 80 to 100 years old. All of our study sites are</w:t>
      </w:r>
      <w:r>
        <w:t xml:space="preserve"> </w:t>
      </w:r>
      <w:r>
        <w:t xml:space="preserve">between 13 and 16 km from the Pacific Ocean at elevations between 130 and 300 m,</w:t>
      </w:r>
      <w:r>
        <w:t xml:space="preserve"> </w:t>
      </w:r>
      <w:r>
        <w:t xml:space="preserve">on well-drained, sandstone-derived soils. The sites are located on various</w:t>
      </w:r>
      <w:r>
        <w:t xml:space="preserve"> </w:t>
      </w:r>
      <w:r>
        <w:t xml:space="preserve">aspects on mid to upper-slope positions (</w:t>
      </w:r>
      <w:hyperlink w:anchor="fig-site-map">
        <w:r>
          <w:rPr>
            <w:rStyle w:val="Hyperlink"/>
          </w:rPr>
          <w:t xml:space="preserve">Figure 2.1</w:t>
        </w:r>
      </w:hyperlink>
      <w:r>
        <w:t xml:space="preserve">), and the site quality is</w:t>
      </w:r>
      <w:r>
        <w:t xml:space="preserve"> </w:t>
      </w:r>
      <w:r>
        <w:t xml:space="preserve">classified as Site Class II</w:t>
      </w:r>
      <w:r>
        <w:t xml:space="preserve"> </w:t>
      </w:r>
      <w:r>
        <w:t xml:space="preserve">(Lindquist &amp; Palley, 1963; Webb et al., 2012)</w:t>
      </w:r>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34" w:name="fig-site-map"/>
          <w:p>
            <w:pPr>
              <w:pStyle w:val="Compact"/>
              <w:jc w:val="center"/>
            </w:pPr>
            <w:r>
              <w:drawing>
                <wp:inline>
                  <wp:extent cx="5334000" cy="5334000"/>
                  <wp:effectExtent b="0" l="0" r="0" t="0"/>
                  <wp:docPr descr="" title="" id="32" name="Picture"/>
                  <a:graphic>
                    <a:graphicData uri="http://schemas.openxmlformats.org/drawingml/2006/picture">
                      <pic:pic>
                        <pic:nvPicPr>
                          <pic:cNvPr descr="thesis/../figures/site_map_2.png" id="33" name="Picture"/>
                          <pic:cNvPicPr>
                            <a:picLocks noChangeArrowheads="1" noChangeAspect="1"/>
                          </pic:cNvPicPr>
                        </pic:nvPicPr>
                        <pic:blipFill>
                          <a:blip r:embed="rId31"/>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2.1: The site locations and topography for our study plots. The red box delineates</w:t>
            </w:r>
            <w:r>
              <w:t xml:space="preserve"> </w:t>
            </w:r>
            <w:r>
              <w:t xml:space="preserve">the area of the topographical map seen in the background. JDSF = Jackson</w:t>
            </w:r>
            <w:r>
              <w:t xml:space="preserve"> </w:t>
            </w:r>
            <w:r>
              <w:t xml:space="preserve">Demonstration State Forest.</w:t>
            </w:r>
          </w:p>
          <w:bookmarkEnd w:id="34"/>
        </w:tc>
      </w:tr>
    </w:tbl>
    <w:bookmarkEnd w:id="35"/>
    <w:bookmarkStart w:id="40" w:name="study-design"/>
    <w:p>
      <w:pPr>
        <w:pStyle w:val="Heading2"/>
      </w:pPr>
      <w:r>
        <w:t xml:space="preserve">2.2 Study design</w:t>
      </w:r>
    </w:p>
    <w:p>
      <w:pPr>
        <w:pStyle w:val="FirstParagraph"/>
      </w:pPr>
      <w:r>
        <w:t xml:space="preserve">In 2012, four treatments were replicated at four different sites. The treatments</w:t>
      </w:r>
      <w:r>
        <w:t xml:space="preserve"> </w:t>
      </w:r>
      <w:r>
        <w:t xml:space="preserve">were: group selection (GS), high-density dispersed retention (HD), high-density</w:t>
      </w:r>
      <w:r>
        <w:t xml:space="preserve"> </w:t>
      </w:r>
      <w:r>
        <w:t xml:space="preserve">aggregated retention (HA), and low-density dispersed retention (LD). The GS</w:t>
      </w:r>
      <w:r>
        <w:t xml:space="preserve"> </w:t>
      </w:r>
      <w:r>
        <w:t xml:space="preserve">treatment is composed of a circular 1-ha opening in which all trees were</w:t>
      </w:r>
      <w:r>
        <w:t xml:space="preserve"> </w:t>
      </w:r>
      <w:r>
        <w:t xml:space="preserve">removed, surrounded by a 50-meter buffer of light thinning in which less than</w:t>
      </w:r>
      <w:r>
        <w:t xml:space="preserve"> </w:t>
      </w:r>
      <w:r>
        <w:t xml:space="preserve">1/3 of the basal area was removed. The remaining treatments were applied over</w:t>
      </w:r>
      <w:r>
        <w:t xml:space="preserve"> </w:t>
      </w:r>
      <w:r>
        <w:t xml:space="preserve">2-hectare treatment units. The target post-harvest density was specified in</w:t>
      </w:r>
      <w:r>
        <w:t xml:space="preserve"> </w:t>
      </w:r>
      <w:r>
        <w:t xml:space="preserve">terms of relative stand density index (SDI) using an assumed upper SDI limit for</w:t>
      </w:r>
      <w:r>
        <w:t xml:space="preserve"> </w:t>
      </w:r>
      <w:r>
        <w:t xml:space="preserve">redwood of 2,470 stems ha</w:t>
      </w:r>
      <w:r>
        <w:rPr>
          <w:vertAlign w:val="superscript"/>
        </w:rPr>
        <w:t xml:space="preserve">-1</w:t>
      </w:r>
      <w:r>
        <w:t xml:space="preserve"> </w:t>
      </w:r>
      <w:r>
        <w:t xml:space="preserve">(Reineke, 1933)</w:t>
      </w:r>
      <w:r>
        <w:t xml:space="preserve">. The</w:t>
      </w:r>
      <w:r>
        <w:t xml:space="preserve"> </w:t>
      </w:r>
      <w:r>
        <w:t xml:space="preserve">target residual relative density for the HA and HD treatments was 21% (SDI =</w:t>
      </w:r>
      <w:r>
        <w:t xml:space="preserve"> </w:t>
      </w:r>
      <w:r>
        <w:t xml:space="preserve">520), and the for the LD treatment it was 13% (SDI = 320). These densities were</w:t>
      </w:r>
      <w:r>
        <w:t xml:space="preserve"> </w:t>
      </w:r>
      <w:r>
        <w:t xml:space="preserve">chosen to balance the objectives of stand volume productions and individual tree</w:t>
      </w:r>
      <w:r>
        <w:t xml:space="preserve"> </w:t>
      </w:r>
      <w:r>
        <w:t xml:space="preserve">growth assuming a subsequent, similar harvest after 20 years</w:t>
      </w:r>
      <w:r>
        <w:t xml:space="preserve"> </w:t>
      </w:r>
      <w:r>
        <w:t xml:space="preserve">(Berrill &amp; O’Hara, 2009)</w:t>
      </w:r>
      <w:r>
        <w:t xml:space="preserve">.</w:t>
      </w:r>
    </w:p>
    <w:p>
      <w:pPr>
        <w:pStyle w:val="BodyText"/>
      </w:pPr>
      <w:r>
        <w:t xml:space="preserve">After harvesting, 0.2-hectare square macro plot was established in the center of</w:t>
      </w:r>
      <w:r>
        <w:t xml:space="preserve"> </w:t>
      </w:r>
      <w:r>
        <w:t xml:space="preserve">each treatment unit. Approximately 25 redwood and 25 tanoak sprout clumps that</w:t>
      </w:r>
      <w:r>
        <w:t xml:space="preserve"> </w:t>
      </w:r>
      <w:r>
        <w:t xml:space="preserve">were well distributed across the plot, were selected for measurement.</w:t>
      </w:r>
      <w:r>
        <w:t xml:space="preserve"> </w:t>
      </w:r>
      <w:r>
        <w:t xml:space="preserve">Additionally, for redwood, sprout clumps were selected evenly from those with,</w:t>
      </w:r>
      <w:r>
        <w:t xml:space="preserve"> </w:t>
      </w:r>
      <w:r>
        <w:t xml:space="preserve">and without residual standing trees.</w:t>
      </w:r>
    </w:p>
    <w:p>
      <w:pPr>
        <w:pStyle w:val="BodyText"/>
      </w:pPr>
      <w:r>
        <w:t xml:space="preserve">Ten years after the initial harvest regeneration plots and fuel transects were</w:t>
      </w:r>
      <w:r>
        <w:t xml:space="preserve"> </w:t>
      </w:r>
      <w:r>
        <w:t xml:space="preserve">established within the macro plot (</w:t>
      </w:r>
      <w:hyperlink w:anchor="fig-plot-layout">
        <w:r>
          <w:rPr>
            <w:rStyle w:val="Hyperlink"/>
          </w:rPr>
          <w:t xml:space="preserve">Figure 2.2</w:t>
        </w:r>
      </w:hyperlink>
      <w:r>
        <w:t xml:space="preserve">). Circular regeneration</w:t>
      </w:r>
      <w:r>
        <w:t xml:space="preserve"> </w:t>
      </w:r>
      <w:r>
        <w:t xml:space="preserve">plots with a 4-meter radius were established 10 meters from each macro plot</w:t>
      </w:r>
      <w:r>
        <w:t xml:space="preserve"> </w:t>
      </w:r>
      <w:r>
        <w:t xml:space="preserve">corner, towards the plot center. Terminating at the center of each of these</w:t>
      </w:r>
      <w:r>
        <w:t xml:space="preserve"> </w:t>
      </w:r>
      <w:r>
        <w:t xml:space="preserve">regeneration plots, 10-meter fuel transects were established parallel to the</w:t>
      </w:r>
      <w:r>
        <w:t xml:space="preserve"> </w:t>
      </w:r>
      <w:r>
        <w:t xml:space="preserve">macro plot edges. Live fuels were estimated in 1-meter radius</w:t>
      </w:r>
      <w:r>
        <w:t xml:space="preserve"> </w:t>
      </w:r>
      <w:r>
        <w:t xml:space="preserve">“</w:t>
      </w:r>
      <w:r>
        <w:t xml:space="preserve">sampling</w:t>
      </w:r>
      <w:r>
        <w:t xml:space="preserve"> </w:t>
      </w:r>
      <w:r>
        <w:t xml:space="preserve">cylinders</w:t>
      </w:r>
      <w:r>
        <w:t xml:space="preserve">”</w:t>
      </w:r>
      <w:r>
        <w:t xml:space="preserve"> </w:t>
      </w:r>
      <w:r>
        <w:t xml:space="preserve">at the five-, and nine-meter locations along each transect.</w:t>
      </w:r>
    </w:p>
    <w:p>
      <w:pPr>
        <w:pStyle w:val="BodyText"/>
      </w:pPr>
      <w:r>
        <w:t xml:space="preserve">Following year 10 measurements, all plots received a pre-commercial thinning</w:t>
      </w:r>
      <w:r>
        <w:t xml:space="preserve"> </w:t>
      </w:r>
      <w:r>
        <w:t xml:space="preserve">treatment where the objective was to release merchantable conifers such as</w:t>
      </w:r>
      <w:r>
        <w:t xml:space="preserve"> </w:t>
      </w:r>
      <w:r>
        <w:t xml:space="preserve">redwood and Douglas-fir from competition. Competing trees and shrubs were cut,</w:t>
      </w:r>
      <w:r>
        <w:t xml:space="preserve"> </w:t>
      </w:r>
      <w:r>
        <w:t xml:space="preserve">lopped, and scattered within the measurement plots and fuel transects were</w:t>
      </w:r>
      <w:r>
        <w:t xml:space="preserve"> </w:t>
      </w:r>
      <w:r>
        <w:t xml:space="preserve">re-measured.</w:t>
      </w:r>
    </w:p>
    <w:tbl>
      <w:tblPr>
        <w:tblStyle w:val="Table"/>
        <w:tblW w:type="pct" w:w="5000"/>
        <w:tblLook w:firstRow="0" w:lastRow="0" w:firstColumn="0" w:lastColumn="0" w:noHBand="0" w:noVBand="0" w:val="0000"/>
        <w:jc w:val="start"/>
        <w:tblLayout w:type="fixed"/>
      </w:tblPr>
      <w:tblGrid>
        <w:gridCol w:w="7920"/>
      </w:tblGrid>
      <w:tr>
        <w:tc>
          <w:tcPr/>
          <w:bookmarkStart w:id="39" w:name="fig-plot-layout"/>
          <w:p>
            <w:pPr>
              <w:pStyle w:val="Compact"/>
              <w:jc w:val="center"/>
            </w:pPr>
            <w:r>
              <w:drawing>
                <wp:inline>
                  <wp:extent cx="5334000" cy="4563173"/>
                  <wp:effectExtent b="0" l="0" r="0" t="0"/>
                  <wp:docPr descr="" title="" id="37" name="Picture"/>
                  <a:graphic>
                    <a:graphicData uri="http://schemas.openxmlformats.org/drawingml/2006/picture">
                      <pic:pic>
                        <pic:nvPicPr>
                          <pic:cNvPr descr="thesis/../figures/fuel_sampling_layout.png" id="38" name="Picture"/>
                          <pic:cNvPicPr>
                            <a:picLocks noChangeArrowheads="1" noChangeAspect="1"/>
                          </pic:cNvPicPr>
                        </pic:nvPicPr>
                        <pic:blipFill>
                          <a:blip r:embed="rId36"/>
                          <a:stretch>
                            <a:fillRect/>
                          </a:stretch>
                        </pic:blipFill>
                        <pic:spPr bwMode="auto">
                          <a:xfrm>
                            <a:off x="0" y="0"/>
                            <a:ext cx="5334000" cy="4563173"/>
                          </a:xfrm>
                          <a:prstGeom prst="rect">
                            <a:avLst/>
                          </a:prstGeom>
                          <a:noFill/>
                          <a:ln w="9525">
                            <a:noFill/>
                            <a:headEnd/>
                            <a:tailEnd/>
                          </a:ln>
                        </pic:spPr>
                      </pic:pic>
                    </a:graphicData>
                  </a:graphic>
                </wp:inline>
              </w:drawing>
            </w:r>
          </w:p>
          <w:p>
            <w:pPr>
              <w:jc w:val="center"/>
            </w:pPr>
            <w:pPr>
              <w:jc w:val="start"/>
              <w:spacing w:before="200"/>
              <w:pStyle w:val="ImageCaption"/>
            </w:pPr>
            <w:r>
              <w:t xml:space="preserve">Figure 2.2: A diagram of the fuel sampling design depicting a 0.2-hectare macro plot</w:t>
            </w:r>
            <w:r>
              <w:t xml:space="preserve"> </w:t>
            </w:r>
            <w:r>
              <w:t xml:space="preserve">(black outline), fuels transects (black lines), sampling cylinders (orange</w:t>
            </w:r>
            <w:r>
              <w:t xml:space="preserve"> </w:t>
            </w:r>
            <w:r>
              <w:t xml:space="preserve">circles) where duff, litter, and live and dead vegetation were measured, and</w:t>
            </w:r>
            <w:r>
              <w:t xml:space="preserve"> </w:t>
            </w:r>
            <w:r>
              <w:t xml:space="preserve">vegetation sub-plots (green circles), where regeneration density and diversity</w:t>
            </w:r>
            <w:r>
              <w:t xml:space="preserve"> </w:t>
            </w:r>
            <w:r>
              <w:t xml:space="preserve">were quantified.</w:t>
            </w:r>
          </w:p>
          <w:bookmarkEnd w:id="39"/>
        </w:tc>
      </w:tr>
    </w:tbl>
    <w:bookmarkEnd w:id="40"/>
    <w:bookmarkStart w:id="44" w:name="data-collection"/>
    <w:p>
      <w:pPr>
        <w:pStyle w:val="Heading2"/>
      </w:pPr>
      <w:r>
        <w:t xml:space="preserve">2.3 Data collection</w:t>
      </w:r>
    </w:p>
    <w:bookmarkStart w:id="41" w:name="sprout-size"/>
    <w:p>
      <w:pPr>
        <w:pStyle w:val="Heading3"/>
      </w:pPr>
      <w:r>
        <w:t xml:space="preserve">2.3.1 Sprout size</w:t>
      </w:r>
    </w:p>
    <w:p>
      <w:pPr>
        <w:pStyle w:val="FirstParagraph"/>
      </w:pPr>
      <w:r>
        <w:t xml:space="preserve">Sprout height data were collected during the winter at years 1, 5, and 10</w:t>
      </w:r>
      <w:r>
        <w:t xml:space="preserve"> </w:t>
      </w:r>
      <w:r>
        <w:t xml:space="preserve">following the initial harvest. Sprout heights at each period were based on the</w:t>
      </w:r>
      <w:r>
        <w:t xml:space="preserve"> </w:t>
      </w:r>
      <w:r>
        <w:t xml:space="preserve">tallest individual within a clump at the time of measurement with a height pole</w:t>
      </w:r>
      <w:r>
        <w:t xml:space="preserve"> </w:t>
      </w:r>
      <w:r>
        <w:t xml:space="preserve">placed at the same location on the ground at each measurement period. The</w:t>
      </w:r>
      <w:r>
        <w:t xml:space="preserve"> </w:t>
      </w:r>
      <w:r>
        <w:t xml:space="preserve">observer eliminated parallax by observing from a location up-slope, level with</w:t>
      </w:r>
      <w:r>
        <w:t xml:space="preserve"> </w:t>
      </w:r>
      <w:r>
        <w:t xml:space="preserve">the height of the sprout. Sprout DBH for only redwood was collected in year 10.</w:t>
      </w:r>
    </w:p>
    <w:bookmarkEnd w:id="41"/>
    <w:bookmarkStart w:id="42" w:name="regeneration"/>
    <w:p>
      <w:pPr>
        <w:pStyle w:val="Heading3"/>
      </w:pPr>
      <w:r>
        <w:t xml:space="preserve">2.3.2 Regeneration</w:t>
      </w:r>
    </w:p>
    <w:p>
      <w:pPr>
        <w:pStyle w:val="FirstParagraph"/>
      </w:pPr>
      <w:r>
        <w:t xml:space="preserve">Ten years after the initial harvest, four four-meter-radius regeneration plots</w:t>
      </w:r>
      <w:r>
        <w:t xml:space="preserve"> </w:t>
      </w:r>
      <w:r>
        <w:t xml:space="preserve">were established within each macro plot (</w:t>
      </w:r>
      <w:hyperlink w:anchor="fig-plot-layout">
        <w:r>
          <w:rPr>
            <w:rStyle w:val="Hyperlink"/>
          </w:rPr>
          <w:t xml:space="preserve">Figure 2.2</w:t>
        </w:r>
      </w:hyperlink>
      <w:r>
        <w:t xml:space="preserve">). All regenerating</w:t>
      </w:r>
      <w:r>
        <w:t xml:space="preserve"> </w:t>
      </w:r>
      <w:r>
        <w:t xml:space="preserve">trees (sprouts and seedlings) within the plot were recorded. Regenerating trees</w:t>
      </w:r>
      <w:r>
        <w:t xml:space="preserve"> </w:t>
      </w:r>
      <w:r>
        <w:t xml:space="preserve">less than 5 cm at breast height (1.4 m) were tallied by 2.5 cm size classes and the</w:t>
      </w:r>
      <w:r>
        <w:t xml:space="preserve"> </w:t>
      </w:r>
      <w:r>
        <w:t xml:space="preserve">actual DBH of all other regenerating trees were recorded. This allowed for an</w:t>
      </w:r>
      <w:r>
        <w:t xml:space="preserve"> </w:t>
      </w:r>
      <w:r>
        <w:t xml:space="preserve">estimation of sprout and seedling density.</w:t>
      </w:r>
    </w:p>
    <w:bookmarkEnd w:id="42"/>
    <w:bookmarkStart w:id="43" w:name="fuels"/>
    <w:p>
      <w:pPr>
        <w:pStyle w:val="Heading3"/>
      </w:pPr>
      <w:r>
        <w:t xml:space="preserve">2.3.3 Fuels</w:t>
      </w:r>
    </w:p>
    <w:p>
      <w:pPr>
        <w:pStyle w:val="FirstParagraph"/>
      </w:pPr>
      <w:r>
        <w:t xml:space="preserve">Also at 10 years after the initial harvest, fuel transects were established and</w:t>
      </w:r>
      <w:r>
        <w:t xml:space="preserve"> </w:t>
      </w:r>
      <w:r>
        <w:t xml:space="preserve">sampled according to the FIREMON protocol</w:t>
      </w:r>
      <w:r>
        <w:t xml:space="preserve"> </w:t>
      </w:r>
      <w:r>
        <w:t xml:space="preserve">(Lutes et al., 2006)</w:t>
      </w:r>
      <w:r>
        <w:t xml:space="preserve">, with</w:t>
      </w:r>
      <w:r>
        <w:t xml:space="preserve"> </w:t>
      </w:r>
      <w:r>
        <w:t xml:space="preserve">some adaptations that were unique to this project. This protocol is very similar</w:t>
      </w:r>
      <w:r>
        <w:t xml:space="preserve"> </w:t>
      </w:r>
      <w:r>
        <w:t xml:space="preserve">to that of</w:t>
      </w:r>
      <w:r>
        <w:t xml:space="preserve"> </w:t>
      </w:r>
      <w:r>
        <w:t xml:space="preserve">Brown (1974)</w:t>
      </w:r>
      <w:r>
        <w:t xml:space="preserve">. One-, 10-, 100-hr, and 1000-hr</w:t>
      </w:r>
      <w:r>
        <w:t xml:space="preserve"> </w:t>
      </w:r>
      <w:r>
        <w:t xml:space="preserve">(or coarse woody) fuels were those less than 0.635 cm, 0.635 to 2.54 cm, 2.54 to</w:t>
      </w:r>
      <w:r>
        <w:t xml:space="preserve"> </w:t>
      </w:r>
      <w:r>
        <w:t xml:space="preserve">7.62 cm and those 7.62 cm and greater, respectively and included only dead and</w:t>
      </w:r>
      <w:r>
        <w:t xml:space="preserve"> </w:t>
      </w:r>
      <w:r>
        <w:t xml:space="preserve">downed woody fuels (not those attached to live vegetation, or standing dead).</w:t>
      </w:r>
      <w:r>
        <w:t xml:space="preserve"> </w:t>
      </w:r>
      <w:r>
        <w:t xml:space="preserve">Transect lengths for 1-, 10-, and 100-hr fuels were one, two, and four meters,</w:t>
      </w:r>
      <w:r>
        <w:t xml:space="preserve"> </w:t>
      </w:r>
      <w:r>
        <w:t xml:space="preserve">respectively. Coarse woody fuels were measured along the entire 10-meter</w:t>
      </w:r>
      <w:r>
        <w:t xml:space="preserve"> </w:t>
      </w:r>
      <w:r>
        <w:t xml:space="preserve">transect.</w:t>
      </w:r>
    </w:p>
    <w:p>
      <w:pPr>
        <w:pStyle w:val="BodyText"/>
      </w:pPr>
      <w:r>
        <w:t xml:space="preserve">Redwoods, like other species in Cupressaceae, shed branchlets instead of</w:t>
      </w:r>
      <w:r>
        <w:t xml:space="preserve"> </w:t>
      </w:r>
      <w:r>
        <w:t xml:space="preserve">individual leaves. This leads to difficulty in distinguishing</w:t>
      </w:r>
      <w:r>
        <w:t xml:space="preserve"> </w:t>
      </w:r>
      <w:r>
        <w:t xml:space="preserve">“</w:t>
      </w:r>
      <w:r>
        <w:t xml:space="preserve">litter</w:t>
      </w:r>
      <w:r>
        <w:t xml:space="preserve">”</w:t>
      </w:r>
      <w:r>
        <w:t xml:space="preserve"> </w:t>
      </w:r>
      <w:r>
        <w:t xml:space="preserve">from 1-hr</w:t>
      </w:r>
      <w:r>
        <w:t xml:space="preserve"> </w:t>
      </w:r>
      <w:r>
        <w:t xml:space="preserve">fuels. We chose to use an estimated cutoff of about 2 mm for redwoods sprays</w:t>
      </w:r>
      <w:r>
        <w:t xml:space="preserve"> </w:t>
      </w:r>
      <w:r>
        <w:t xml:space="preserve">where larger pieces were considered 1-hr fuel and smaller pieces were considered</w:t>
      </w:r>
      <w:r>
        <w:t xml:space="preserve"> </w:t>
      </w:r>
      <w:r>
        <w:t xml:space="preserve">part of the litter layer. We did not distinguish between</w:t>
      </w:r>
      <w:r>
        <w:t xml:space="preserve"> </w:t>
      </w:r>
      <w:r>
        <w:t xml:space="preserve">“</w:t>
      </w:r>
      <w:r>
        <w:t xml:space="preserve">leafy</w:t>
      </w:r>
      <w:r>
        <w:t xml:space="preserve">”</w:t>
      </w:r>
      <w:r>
        <w:t xml:space="preserve"> </w:t>
      </w:r>
      <w:r>
        <w:t xml:space="preserve">and</w:t>
      </w:r>
      <w:r>
        <w:t xml:space="preserve"> </w:t>
      </w:r>
      <w:r>
        <w:t xml:space="preserve">“</w:t>
      </w:r>
      <w:r>
        <w:t xml:space="preserve">awl like</w:t>
      </w:r>
      <w:r>
        <w:t xml:space="preserve">”</w:t>
      </w:r>
      <w:r>
        <w:t xml:space="preserve"> </w:t>
      </w:r>
      <w:r>
        <w:t xml:space="preserve">leaf shapes</w:t>
      </w:r>
      <w:r>
        <w:t xml:space="preserve"> </w:t>
      </w:r>
      <w:r>
        <w:t xml:space="preserve">(Graham, 2009)</w:t>
      </w:r>
      <w:r>
        <w:t xml:space="preserve">.</w:t>
      </w:r>
    </w:p>
    <w:p>
      <w:pPr>
        <w:pStyle w:val="BodyText"/>
      </w:pPr>
      <w:r>
        <w:t xml:space="preserve">Live vegetation percent cover and average height were estimated in</w:t>
      </w:r>
      <w:r>
        <w:t xml:space="preserve"> </w:t>
      </w:r>
      <w:r>
        <w:t xml:space="preserve">1-meter-radius</w:t>
      </w:r>
      <w:r>
        <w:t xml:space="preserve"> </w:t>
      </w:r>
      <w:r>
        <w:t xml:space="preserve">“</w:t>
      </w:r>
      <w:r>
        <w:t xml:space="preserve">sampling cylinders</w:t>
      </w:r>
      <w:r>
        <w:t xml:space="preserve">”</w:t>
      </w:r>
      <w:r>
        <w:t xml:space="preserve"> </w:t>
      </w:r>
      <w:r>
        <w:t xml:space="preserve">as described in the FIREMON protocol</w:t>
      </w:r>
      <w:r>
        <w:t xml:space="preserve"> </w:t>
      </w:r>
      <w:r>
        <w:t xml:space="preserve">(Lutes et al., 2006)</w:t>
      </w:r>
      <w:r>
        <w:t xml:space="preserve">. A notable exception is that the sampling</w:t>
      </w:r>
      <w:r>
        <w:t xml:space="preserve"> </w:t>
      </w:r>
      <w:r>
        <w:t xml:space="preserve">cylinders were allowed to extend to the (average) top height of the live fuels</w:t>
      </w:r>
      <w:r>
        <w:t xml:space="preserve"> </w:t>
      </w:r>
      <w:r>
        <w:t xml:space="preserve">that were continuous within less than a meter of the ground. This resulted in</w:t>
      </w:r>
      <w:r>
        <w:t xml:space="preserve"> </w:t>
      </w:r>
      <w:r>
        <w:t xml:space="preserve">average live vegetation heights that could sometimes reach near the height of</w:t>
      </w:r>
      <w:r>
        <w:t xml:space="preserve"> </w:t>
      </w:r>
      <w:r>
        <w:t xml:space="preserve">the sprouts and average heights above two meters were estimated with the help of</w:t>
      </w:r>
      <w:r>
        <w:t xml:space="preserve"> </w:t>
      </w:r>
      <w:r>
        <w:t xml:space="preserve">a clinometer. This decision makes explicit instances when when fuels are</w:t>
      </w:r>
      <w:r>
        <w:t xml:space="preserve"> </w:t>
      </w:r>
      <w:r>
        <w:t xml:space="preserve">vertically continuous with the ground. Live vegetation percent cover was</w:t>
      </w:r>
      <w:r>
        <w:t xml:space="preserve"> </w:t>
      </w:r>
      <w:r>
        <w:t xml:space="preserve">estimated for four vegetation classes: live woody fuels, dead woody fuels, live</w:t>
      </w:r>
      <w:r>
        <w:t xml:space="preserve"> </w:t>
      </w:r>
      <w:r>
        <w:t xml:space="preserve">herbaceous fuels, and dead herbaceous fuels. Dead</w:t>
      </w:r>
      <w:r>
        <w:t xml:space="preserve"> </w:t>
      </w:r>
      <w:r>
        <w:t xml:space="preserve">“</w:t>
      </w:r>
      <w:r>
        <w:t xml:space="preserve">live</w:t>
      </w:r>
      <w:r>
        <w:t xml:space="preserve">”</w:t>
      </w:r>
      <w:r>
        <w:t xml:space="preserve"> </w:t>
      </w:r>
      <w:r>
        <w:t xml:space="preserve">fuels includes dead</w:t>
      </w:r>
      <w:r>
        <w:t xml:space="preserve"> </w:t>
      </w:r>
      <w:r>
        <w:t xml:space="preserve">fuels attached to live plants, or those still rooted in the ground. Particles</w:t>
      </w:r>
      <w:r>
        <w:t xml:space="preserve"> </w:t>
      </w:r>
      <w:r>
        <w:t xml:space="preserve">in these conditions are not counted as downed woody fuels when tallying fine and</w:t>
      </w:r>
      <w:r>
        <w:t xml:space="preserve"> </w:t>
      </w:r>
      <w:r>
        <w:t xml:space="preserve">coarse woody fuels along fuel transects. These fuels are, though, expected to</w:t>
      </w:r>
      <w:r>
        <w:t xml:space="preserve"> </w:t>
      </w:r>
      <w:r>
        <w:t xml:space="preserve">behave differently during combustion than live</w:t>
      </w:r>
      <w:r>
        <w:t xml:space="preserve"> </w:t>
      </w:r>
      <w:r>
        <w:t xml:space="preserve">“</w:t>
      </w:r>
      <w:r>
        <w:t xml:space="preserve">live</w:t>
      </w:r>
      <w:r>
        <w:t xml:space="preserve">”</w:t>
      </w:r>
      <w:r>
        <w:t xml:space="preserve"> </w:t>
      </w:r>
      <w:r>
        <w:t xml:space="preserve">fuels. Average vegetation</w:t>
      </w:r>
      <w:r>
        <w:t xml:space="preserve"> </w:t>
      </w:r>
      <w:r>
        <w:t xml:space="preserve">height was recorded for two classes: the average height of all woody fuels and</w:t>
      </w:r>
      <w:r>
        <w:t xml:space="preserve"> </w:t>
      </w:r>
      <w:r>
        <w:t xml:space="preserve">the average height of all herbaceous fuels. These estimates pertain to the</w:t>
      </w:r>
      <w:r>
        <w:t xml:space="preserve"> </w:t>
      </w:r>
      <w:r>
        <w:t xml:space="preserve">particles present in the sampling cylinder, and not the area-average, thus a</w:t>
      </w:r>
      <w:r>
        <w:t xml:space="preserve"> </w:t>
      </w:r>
      <w:r>
        <w:t xml:space="preserve">cylinder with only one percent cover, could still have an average height of two</w:t>
      </w:r>
      <w:r>
        <w:t xml:space="preserve"> </w:t>
      </w:r>
      <w:r>
        <w:t xml:space="preserve">meters, i.e., the empty space within the cylinder does not affect the average</w:t>
      </w:r>
      <w:r>
        <w:t xml:space="preserve"> </w:t>
      </w:r>
      <w:r>
        <w:t xml:space="preserve">height. The average height and percent-cover estimates are visual estimations and</w:t>
      </w:r>
      <w:r>
        <w:t xml:space="preserve"> </w:t>
      </w:r>
      <w:r>
        <w:t xml:space="preserve">efforts were made to discuss these frequently to ensure that estimates among</w:t>
      </w:r>
      <w:r>
        <w:t xml:space="preserve"> </w:t>
      </w:r>
      <w:r>
        <w:t xml:space="preserve">observers were consistent. Percent cover estimates were discrete, rounded to the</w:t>
      </w:r>
      <w:r>
        <w:t xml:space="preserve"> </w:t>
      </w:r>
      <w:r>
        <w:t xml:space="preserve">nearest class in the set: 0.5, 3, 10, and all subsequent 10 percent increments</w:t>
      </w:r>
      <w:r>
        <w:t xml:space="preserve"> </w:t>
      </w:r>
      <w:r>
        <w:t xml:space="preserve">up to 100 percent.</w:t>
      </w:r>
    </w:p>
    <w:p>
      <w:pPr>
        <w:pStyle w:val="BodyText"/>
      </w:pPr>
      <w:r>
        <w:t xml:space="preserve">The depth of duff and litter was measured at one representative location within</w:t>
      </w:r>
      <w:r>
        <w:t xml:space="preserve"> </w:t>
      </w:r>
      <w:r>
        <w:t xml:space="preserve">each of the two, 1-meter-radius sampling cylinders along each transect. When</w:t>
      </w:r>
      <w:r>
        <w:t xml:space="preserve"> </w:t>
      </w:r>
      <w:r>
        <w:t xml:space="preserve">duff and litter conditions varied greatly in a single sampling cylinder, a</w:t>
      </w:r>
      <w:r>
        <w:t xml:space="preserve"> </w:t>
      </w:r>
      <w:r>
        <w:t xml:space="preserve">location was chosen to represent the average of conditions within the cylinder.</w:t>
      </w:r>
    </w:p>
    <w:p>
      <w:pPr>
        <w:pStyle w:val="BodyText"/>
      </w:pPr>
      <w:r>
        <w:t xml:space="preserve">Fuel bed depth was estimated as the average height of the fine and coarse woody</w:t>
      </w:r>
      <w:r>
        <w:t xml:space="preserve"> </w:t>
      </w:r>
      <w:r>
        <w:t xml:space="preserve">debris components within each sampling cylinder. Theoretically, this included</w:t>
      </w:r>
      <w:r>
        <w:t xml:space="preserve"> </w:t>
      </w:r>
      <w:r>
        <w:t xml:space="preserve">litter, but now duff. This estimate was not described in the FIREMON protocol,</w:t>
      </w:r>
      <w:r>
        <w:t xml:space="preserve"> </w:t>
      </w:r>
      <w:r>
        <w:t xml:space="preserve">but it was designed to be made in a similar manner as described for vegetation</w:t>
      </w:r>
      <w:r>
        <w:t xml:space="preserve"> </w:t>
      </w:r>
      <w:r>
        <w:t xml:space="preserve">heights.</w:t>
      </w:r>
    </w:p>
    <w:bookmarkEnd w:id="43"/>
    <w:bookmarkEnd w:id="44"/>
    <w:bookmarkStart w:id="51" w:name="analysis"/>
    <w:p>
      <w:pPr>
        <w:pStyle w:val="Heading2"/>
      </w:pPr>
      <w:r>
        <w:t xml:space="preserve">2.4 Analysis</w:t>
      </w:r>
    </w:p>
    <w:p>
      <w:pPr>
        <w:pStyle w:val="FirstParagraph"/>
      </w:pPr>
      <w:r>
        <w:t xml:space="preserve">An analysis was conducted in three stages, one for each of the three response</w:t>
      </w:r>
      <w:r>
        <w:t xml:space="preserve"> </w:t>
      </w:r>
      <w:r>
        <w:t xml:space="preserve">categories: fuels, sprout size, and regeneration density. All analyses were</w:t>
      </w:r>
      <w:r>
        <w:t xml:space="preserve"> </w:t>
      </w:r>
      <w:r>
        <w:t xml:space="preserve">conducted using R and attempts were made to document all data, decisions, and</w:t>
      </w:r>
      <w:r>
        <w:t xml:space="preserve"> </w:t>
      </w:r>
      <w:r>
        <w:t xml:space="preserve">techniques within a Quarto notebook, which is published at</w:t>
      </w:r>
      <w:r>
        <w:t xml:space="preserve"> </w:t>
      </w:r>
      <w:r>
        <w:t xml:space="preserve">https://fisher-j.github.io/multi-age. All response variables were analyzed using</w:t>
      </w:r>
      <w:r>
        <w:t xml:space="preserve"> </w:t>
      </w:r>
      <w:r>
        <w:t xml:space="preserve">multi-level models to account for the inherent nesting structure of the data,</w:t>
      </w:r>
      <w:r>
        <w:t xml:space="preserve"> </w:t>
      </w:r>
      <w:r>
        <w:t xml:space="preserve">including multiple measurements of individuals over time, where applicable.</w:t>
      </w:r>
      <w:r>
        <w:t xml:space="preserve"> </w:t>
      </w:r>
      <w:r>
        <w:t xml:space="preserve">Grouping levels were included in the models if their variance estimate was</w:t>
      </w:r>
      <w:r>
        <w:t xml:space="preserve"> </w:t>
      </w:r>
      <w:r>
        <w:t xml:space="preserve">determined to be significant based on the size of the variance and the magnitude</w:t>
      </w:r>
      <w:r>
        <w:t xml:space="preserve"> </w:t>
      </w:r>
      <w:r>
        <w:t xml:space="preserve">that inclusion of that grouping level had on the estimates and their</w:t>
      </w:r>
      <w:r>
        <w:t xml:space="preserve"> </w:t>
      </w:r>
      <w:r>
        <w:t xml:space="preserve">corresponding confidence</w:t>
      </w:r>
      <w:r>
        <w:t xml:space="preserve"> </w:t>
      </w:r>
      <w:r>
        <w:t xml:space="preserve">levels. Because the overall objective was to detect differences between</w:t>
      </w:r>
      <w:r>
        <w:t xml:space="preserve"> </w:t>
      </w:r>
      <w:r>
        <w:t xml:space="preserve">treatments, treatment was used as the primary independent variable. Model</w:t>
      </w:r>
      <w:r>
        <w:t xml:space="preserve"> </w:t>
      </w:r>
      <w:r>
        <w:t xml:space="preserve">development and selection were carried out using Akaike information criterion,</w:t>
      </w:r>
      <w:r>
        <w:t xml:space="preserve"> </w:t>
      </w:r>
      <w:r>
        <w:t xml:space="preserve">Bayesian information criterion, and visualization of (probability integral)</w:t>
      </w:r>
      <w:r>
        <w:t xml:space="preserve"> </w:t>
      </w:r>
      <w:r>
        <w:t xml:space="preserve">transformed residuals</w:t>
      </w:r>
      <w:r>
        <w:t xml:space="preserve"> </w:t>
      </w:r>
      <w:r>
        <w:t xml:space="preserve">(Hartig, 2022)</w:t>
      </w:r>
      <w:r>
        <w:t xml:space="preserve">. Models were built</w:t>
      </w:r>
      <w:r>
        <w:t xml:space="preserve"> </w:t>
      </w:r>
      <w:r>
        <w:t xml:space="preserve">using the R package GLMMtmb, which provides a consistent framework for exploring</w:t>
      </w:r>
      <w:r>
        <w:t xml:space="preserve"> </w:t>
      </w:r>
      <w:r>
        <w:t xml:space="preserve">different response distributions and link functions as well as the ability to</w:t>
      </w:r>
      <w:r>
        <w:t xml:space="preserve"> </w:t>
      </w:r>
      <w:r>
        <w:t xml:space="preserve">model variance as a function of predictors</w:t>
      </w:r>
      <w:r>
        <w:t xml:space="preserve"> </w:t>
      </w:r>
      <w:r>
        <w:t xml:space="preserve">(Brooks et al., 2017)</w:t>
      </w:r>
      <w:r>
        <w:t xml:space="preserve">.</w:t>
      </w:r>
      <w:r>
        <w:t xml:space="preserve"> </w:t>
      </w:r>
      <w:r>
        <w:t xml:space="preserve">The final model structures chosen for each response are given in the results</w:t>
      </w:r>
      <w:r>
        <w:t xml:space="preserve"> </w:t>
      </w:r>
      <w:r>
        <w:t xml:space="preserve">section.</w:t>
      </w:r>
    </w:p>
    <w:p>
      <w:pPr>
        <w:pStyle w:val="BodyText"/>
      </w:pPr>
      <w:r>
        <w:t xml:space="preserve">Models were interpreted using estimated marginal means calculated with the R</w:t>
      </w:r>
      <w:r>
        <w:t xml:space="preserve"> </w:t>
      </w:r>
      <w:r>
        <w:t xml:space="preserve">packages</w:t>
      </w:r>
      <w:r>
        <w:t xml:space="preserve"> </w:t>
      </w:r>
      <w:r>
        <w:rPr>
          <w:rStyle w:val="VerbatimChar"/>
        </w:rPr>
        <w:t xml:space="preserve">marginaleffects</w:t>
      </w:r>
      <w:r>
        <w:t xml:space="preserve"> </w:t>
      </w:r>
      <w:r>
        <w:t xml:space="preserve">and</w:t>
      </w:r>
      <w:r>
        <w:t xml:space="preserve"> </w:t>
      </w:r>
      <w:r>
        <w:rPr>
          <w:rStyle w:val="VerbatimChar"/>
        </w:rPr>
        <w:t xml:space="preserve">emmeans</w:t>
      </w:r>
      <w:r>
        <w:t xml:space="preserve"> </w:t>
      </w:r>
      <w:r>
        <w:t xml:space="preserve">(Arel-Bundock et al., 2024; Lenth, 2021)</w:t>
      </w:r>
      <w:r>
        <w:t xml:space="preserve">. Predictions incorporating the effects</w:t>
      </w:r>
      <w:r>
        <w:t xml:space="preserve"> </w:t>
      </w:r>
      <w:r>
        <w:t xml:space="preserve">of all model components were made on the response scale for a grid of predictors</w:t>
      </w:r>
      <w:r>
        <w:t xml:space="preserve"> </w:t>
      </w:r>
      <w:r>
        <w:t xml:space="preserve">consisting of all unique combinations of factors in the data that were used in</w:t>
      </w:r>
      <w:r>
        <w:t xml:space="preserve"> </w:t>
      </w:r>
      <w:r>
        <w:t xml:space="preserve">at least one component of a given model (we didn’t have numeric predictors)</w:t>
      </w:r>
      <w:r>
        <w:t xml:space="preserve"> </w:t>
      </w:r>
      <w:r>
        <w:t xml:space="preserve">except in the case of tree heights where predictions were made for each</w:t>
      </w:r>
      <w:r>
        <w:t xml:space="preserve"> </w:t>
      </w:r>
      <w:r>
        <w:t xml:space="preserve">observation in the data set. Standard errors for the predictions were calculated</w:t>
      </w:r>
      <w:r>
        <w:t xml:space="preserve"> </w:t>
      </w:r>
      <w:r>
        <w:t xml:space="preserve">using the delta method. Predictions were averaged across non-focal predictors</w:t>
      </w:r>
      <w:r>
        <w:t xml:space="preserve"> </w:t>
      </w:r>
      <w:r>
        <w:t xml:space="preserve">(especially</w:t>
      </w:r>
      <w:r>
        <w:t xml:space="preserve"> </w:t>
      </w:r>
      <w:r>
        <w:t xml:space="preserve">“</w:t>
      </w:r>
      <w:r>
        <w:t xml:space="preserve">random</w:t>
      </w:r>
      <w:r>
        <w:t xml:space="preserve">”</w:t>
      </w:r>
      <w:r>
        <w:t xml:space="preserve"> </w:t>
      </w:r>
      <w:r>
        <w:t xml:space="preserve">effects) to obtain the population estimates of marginal</w:t>
      </w:r>
      <w:r>
        <w:t xml:space="preserve"> </w:t>
      </w:r>
      <w:r>
        <w:t xml:space="preserve">means. These means are expected to be applicable to other treatments when</w:t>
      </w:r>
      <w:r>
        <w:t xml:space="preserve"> </w:t>
      </w:r>
      <w:r>
        <w:t xml:space="preserve">conducted across equal proportions of sites with conditions similar to those</w:t>
      </w:r>
      <w:r>
        <w:t xml:space="preserve"> </w:t>
      </w:r>
      <w:r>
        <w:t xml:space="preserve">used in our study. Notably, our population estimates assume equal proportions of</w:t>
      </w:r>
      <w:r>
        <w:t xml:space="preserve"> </w:t>
      </w:r>
      <w:r>
        <w:t xml:space="preserve">north and south facing aspects.</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46" name="Picture"/>
                  <a:graphic>
                    <a:graphicData uri="http://schemas.openxmlformats.org/drawingml/2006/picture">
                      <pic:pic>
                        <pic:nvPicPr>
                          <pic:cNvPr descr="C:\Users\walki\AppData\Local\Programs\Quarto\share\formats\docx\caution.png" id="47" name="Picture"/>
                          <pic:cNvPicPr>
                            <a:picLocks noChangeArrowheads="1" noChangeAspect="1"/>
                          </pic:cNvPicPr>
                        </pic:nvPicPr>
                        <pic:blipFill>
                          <a:blip r:embed="rId4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Cs/>
                <w:b/>
              </w:rPr>
              <w:t xml:space="preserve">TODO:</w:t>
            </w:r>
          </w:p>
          <w:p>
            <w:pPr>
              <w:numPr>
                <w:ilvl w:val="0"/>
                <w:numId w:val="1001"/>
              </w:numPr>
              <w:pStyle w:val="Compact"/>
            </w:pPr>
            <w:r>
              <w:t xml:space="preserve">what kind of predictions am I using, are they unit level or population level</w:t>
            </w:r>
            <w:r>
              <w:t xml:space="preserve"> </w:t>
            </w:r>
            <w:r>
              <w:t xml:space="preserve">predictions?</w:t>
            </w:r>
          </w:p>
          <w:p>
            <w:pPr>
              <w:numPr>
                <w:ilvl w:val="0"/>
                <w:numId w:val="1001"/>
              </w:numPr>
              <w:pStyle w:val="Compact"/>
            </w:pPr>
            <w:r>
              <w:t xml:space="preserve">How and when are predictions back-transformed to the response scale from the</w:t>
            </w:r>
            <w:r>
              <w:t xml:space="preserve"> </w:t>
            </w:r>
            <w:r>
              <w:t xml:space="preserve">link scale?</w:t>
            </w:r>
          </w:p>
          <w:p>
            <w:pPr>
              <w:numPr>
                <w:ilvl w:val="0"/>
                <w:numId w:val="1001"/>
              </w:numPr>
              <w:pStyle w:val="Compact"/>
            </w:pPr>
            <w:r>
              <w:t xml:space="preserve">Are these conditional predictions? Conditioned on what? Or are they marginal</w:t>
            </w:r>
            <w:r>
              <w:t xml:space="preserve"> </w:t>
            </w:r>
            <w:r>
              <w:t xml:space="preserve">predictions?</w:t>
            </w:r>
            <w:r>
              <w:t xml:space="preserve"> </w:t>
            </w:r>
            <w:r>
              <w:t xml:space="preserve">(</w:t>
            </w:r>
            <w:r>
              <w:rPr>
                <w:bCs/>
                <w:b/>
              </w:rPr>
              <w:t xml:space="preserve">heissMarginalConditionalEffects?</w:t>
            </w:r>
            <w:r>
              <w:t xml:space="preserve">)</w:t>
            </w:r>
          </w:p>
          <w:p>
            <w:pPr>
              <w:numPr>
                <w:ilvl w:val="0"/>
                <w:numId w:val="1001"/>
              </w:numPr>
              <w:pStyle w:val="Compact"/>
            </w:pPr>
            <w:r>
              <w:t xml:space="preserve">I would like to write my models in formal notation similar to</w:t>
            </w:r>
            <w:r>
              <w:t xml:space="preserve"> </w:t>
            </w:r>
            <w:r>
              <w:t xml:space="preserve">(</w:t>
            </w:r>
            <w:r>
              <w:rPr>
                <w:bCs/>
                <w:b/>
              </w:rPr>
              <w:t xml:space="preserve">heissMarginalConditionalEffects?</w:t>
            </w:r>
            <w:r>
              <w:t xml:space="preserve">)</w:t>
            </w:r>
            <w:r>
              <w:t xml:space="preserve">:</w:t>
            </w:r>
          </w:p>
          <w:p>
            <w:pPr>
              <w:pStyle w:val="Compact"/>
            </w:pPr>
            <m:oMathPara>
              <m:oMathParaPr>
                <m:jc m:val="center"/>
              </m:oMathParaPr>
              <m:oMath>
                <m:m>
                  <m:mPr>
                    <m:baseJc m:val="center"/>
                    <m:plcHide m:val="on"/>
                    <m:mcs>
                      <m:mc>
                        <m:mcPr>
                          <m:mcJc m:val="right"/>
                          <m:count m:val="1"/>
                        </m:mcPr>
                      </m:mc>
                      <m:mc>
                        <m:mcPr>
                          <m:mcJc m:val="left"/>
                          <m:count m:val="1"/>
                        </m:mcPr>
                      </m:mc>
                      <m:mc>
                        <m:mcPr>
                          <m:mcJc m:val="right"/>
                          <m:count m:val="1"/>
                        </m:mcPr>
                      </m:mc>
                    </m:mcs>
                  </m:mPr>
                  <m:mr>
                    <m:e>
                      <m:r>
                        <m:rPr>
                          <m:nor/>
                          <m:sty m:val="p"/>
                        </m:rPr>
                        <m:t>lifeExp</m:t>
                      </m:r>
                    </m:e>
                    <m:e>
                      <m:r>
                        <m:rPr>
                          <m:sty m:val="p"/>
                        </m:rPr>
                        <m:t>∼</m:t>
                      </m:r>
                      <m:r>
                        <m:rPr>
                          <m:sty m:val="p"/>
                          <m:scr m:val="script"/>
                        </m:rPr>
                        <m:t>N</m:t>
                      </m:r>
                      <m:d>
                        <m:dPr>
                          <m:begChr m:val="("/>
                          <m:endChr m:val=")"/>
                          <m:sepChr m:val=""/>
                          <m:grow/>
                        </m:dPr>
                        <m:e>
                          <m:sSub>
                            <m:e>
                              <m:r>
                                <m:t>μ</m:t>
                              </m:r>
                            </m:e>
                            <m:sub>
                              <m:sSub>
                                <m:e>
                                  <m:r>
                                    <m:t>i</m:t>
                                  </m:r>
                                </m:e>
                                <m:sub>
                                  <m:r>
                                    <m:t>j</m:t>
                                  </m:r>
                                </m:sub>
                              </m:sSub>
                            </m:sub>
                          </m:sSub>
                          <m:r>
                            <m:rPr>
                              <m:sty m:val="p"/>
                            </m:rPr>
                            <m:t>,</m:t>
                          </m:r>
                          <m:sSub>
                            <m:e>
                              <m:r>
                                <m:t>σ</m:t>
                              </m:r>
                            </m:e>
                            <m:sub>
                              <m:r>
                                <m:t>y</m:t>
                              </m:r>
                            </m:sub>
                          </m:sSub>
                        </m:e>
                      </m:d>
                    </m:e>
                    <m:e>
                      <m:r>
                        <m:rPr>
                          <m:nor/>
                          <m:sty m:val="p"/>
                        </m:rPr>
                        <m:t>Life expectancy within countries </m:t>
                      </m:r>
                      <m:r>
                        <m:t>j</m:t>
                      </m:r>
                    </m:e>
                  </m:mr>
                  <m:mr>
                    <m:e>
                      <m:sSub>
                        <m:e>
                          <m:r>
                            <m:t>μ</m:t>
                          </m:r>
                        </m:e>
                        <m:sub>
                          <m:sSub>
                            <m:e>
                              <m:r>
                                <m:t>i</m:t>
                              </m:r>
                            </m:e>
                            <m:sub>
                              <m:r>
                                <m:t>j</m:t>
                              </m:r>
                            </m:sub>
                          </m:sSub>
                        </m:sub>
                      </m:sSub>
                    </m:e>
                    <m:e>
                      <m:r>
                        <m:rPr>
                          <m:sty m:val="p"/>
                        </m:rPr>
                        <m:t>=</m:t>
                      </m:r>
                      <m:d>
                        <m:dPr>
                          <m:begChr m:val="("/>
                          <m:endChr m:val=")"/>
                          <m:sepChr m:val=""/>
                          <m:grow/>
                        </m:dPr>
                        <m:e>
                          <m:sSub>
                            <m:e>
                              <m:r>
                                <m:t>β</m:t>
                              </m:r>
                            </m:e>
                            <m:sub>
                              <m:r>
                                <m:t>0</m:t>
                              </m:r>
                            </m:sub>
                          </m:sSub>
                          <m:r>
                            <m:rPr>
                              <m:sty m:val="p"/>
                            </m:rPr>
                            <m:t>+</m:t>
                          </m:r>
                          <m:sSub>
                            <m:e>
                              <m:r>
                                <m:t>b</m:t>
                              </m:r>
                            </m:e>
                            <m:sub>
                              <m:sSub>
                                <m:e>
                                  <m:r>
                                    <m:t>0</m:t>
                                  </m:r>
                                </m:e>
                                <m:sub>
                                  <m:r>
                                    <m:t>j</m:t>
                                  </m:r>
                                </m:sub>
                              </m:sSub>
                            </m:sub>
                          </m:sSub>
                        </m:e>
                      </m:d>
                      <m:r>
                        <m:rPr>
                          <m:sty m:val="p"/>
                        </m:rPr>
                        <m:t>+</m:t>
                      </m:r>
                      <m:sSub>
                        <m:e>
                          <m:r>
                            <m:t>β</m:t>
                          </m:r>
                        </m:e>
                        <m:sub>
                          <m:r>
                            <m:t>1</m:t>
                          </m:r>
                        </m:sub>
                      </m:sSub>
                      <m:r>
                        <m:t> </m:t>
                      </m:r>
                      <m:sSub>
                        <m:e>
                          <m:r>
                            <m:rPr>
                              <m:nor/>
                              <m:sty m:val="p"/>
                            </m:rPr>
                            <m:t>gdpPercap</m:t>
                          </m:r>
                        </m:e>
                        <m:sub>
                          <m:sSub>
                            <m:e>
                              <m:r>
                                <m:t>i</m:t>
                              </m:r>
                            </m:e>
                            <m:sub>
                              <m:r>
                                <m:t>j</m:t>
                              </m:r>
                            </m:sub>
                          </m:sSub>
                        </m:sub>
                      </m:sSub>
                    </m:e>
                    <m:e>
                      <m:r>
                        <m:rPr>
                          <m:nor/>
                          <m:sty m:val="p"/>
                        </m:rPr>
                        <m:t>Model of within-country variation</m:t>
                      </m:r>
                    </m:e>
                  </m:mr>
                  <m:mr>
                    <m:e>
                      <m:sSub>
                        <m:e>
                          <m:r>
                            <m:t>b</m:t>
                          </m:r>
                        </m:e>
                        <m:sub>
                          <m:sSub>
                            <m:e>
                              <m:r>
                                <m:t>0</m:t>
                              </m:r>
                            </m:e>
                            <m:sub>
                              <m:r>
                                <m:t>j</m:t>
                              </m:r>
                            </m:sub>
                          </m:sSub>
                        </m:sub>
                      </m:sSub>
                    </m:e>
                    <m:e>
                      <m:r>
                        <m:rPr>
                          <m:sty m:val="p"/>
                        </m:rPr>
                        <m:t>∼</m:t>
                      </m:r>
                      <m:r>
                        <m:rPr>
                          <m:sty m:val="p"/>
                          <m:scr m:val="script"/>
                        </m:rPr>
                        <m:t>N</m:t>
                      </m:r>
                      <m:d>
                        <m:dPr>
                          <m:begChr m:val="("/>
                          <m:endChr m:val=")"/>
                          <m:sepChr m:val=""/>
                          <m:grow/>
                        </m:dPr>
                        <m:e>
                          <m:r>
                            <m:t>0</m:t>
                          </m:r>
                          <m:r>
                            <m:rPr>
                              <m:sty m:val="p"/>
                            </m:rPr>
                            <m:t>,</m:t>
                          </m:r>
                          <m:sSub>
                            <m:e>
                              <m:r>
                                <m:t>σ</m:t>
                              </m:r>
                            </m:e>
                            <m:sub>
                              <m:r>
                                <m:t>0</m:t>
                              </m:r>
                            </m:sub>
                          </m:sSub>
                        </m:e>
                      </m:d>
                    </m:e>
                    <m:e>
                      <m:r>
                        <m:rPr>
                          <m:nor/>
                          <m:sty m:val="p"/>
                        </m:rPr>
                        <m:t>Random country offsets from global average</m:t>
                      </m:r>
                    </m:e>
                  </m:mr>
                </m:m>
              </m:oMath>
            </m:oMathPara>
          </w:p>
        </w:tc>
      </w:tr>
    </w:tbl>
    <w:bookmarkStart w:id="48" w:name="fuels-1"/>
    <w:p>
      <w:pPr>
        <w:pStyle w:val="Heading3"/>
      </w:pPr>
      <w:r>
        <w:t xml:space="preserve">2.4.1 Fuels</w:t>
      </w:r>
    </w:p>
    <w:p>
      <w:pPr>
        <w:pStyle w:val="FirstParagraph"/>
      </w:pPr>
      <w:r>
        <w:t xml:space="preserve">Fuel load in Mg ha</w:t>
      </w:r>
      <w:r>
        <w:rPr>
          <w:vertAlign w:val="superscript"/>
        </w:rPr>
        <w:t xml:space="preserve">-1</w:t>
      </w:r>
      <w:r>
        <w:t xml:space="preserve"> </w:t>
      </w:r>
      <w:r>
        <w:t xml:space="preserve">was estimated for 1-hr, 10-hr, 100-hr, combined duff and</w:t>
      </w:r>
      <w:r>
        <w:t xml:space="preserve"> </w:t>
      </w:r>
      <w:r>
        <w:t xml:space="preserve">litter (</w:t>
      </w:r>
      <w:r>
        <w:t xml:space="preserve">“</w:t>
      </w:r>
      <w:r>
        <w:t xml:space="preserve">duff/litter</w:t>
      </w:r>
      <w:r>
        <w:t xml:space="preserve">”</w:t>
      </w:r>
      <w:r>
        <w:t xml:space="preserve">), 1,000-hr, and live vegetation fuels at the transect</w:t>
      </w:r>
      <w:r>
        <w:t xml:space="preserve"> </w:t>
      </w:r>
      <w:r>
        <w:t xml:space="preserve">level. Any transect where a fuel type was not observed was assigned a value of</w:t>
      </w:r>
      <w:r>
        <w:t xml:space="preserve"> </w:t>
      </w:r>
      <w:r>
        <w:t xml:space="preserve">zero for that class and transect. Fuel load for 1- through 1,000-hr fuels were</w:t>
      </w:r>
      <w:r>
        <w:t xml:space="preserve"> </w:t>
      </w:r>
      <w:r>
        <w:t xml:space="preserve">calculated using the method in</w:t>
      </w:r>
      <w:r>
        <w:t xml:space="preserve"> </w:t>
      </w:r>
      <w:r>
        <w:t xml:space="preserve">Brown (1974)</w:t>
      </w:r>
      <w:r>
        <w:t xml:space="preserve">. The</w:t>
      </w:r>
      <w:r>
        <w:t xml:space="preserve"> </w:t>
      </w:r>
      <w:r>
        <w:t xml:space="preserve">required size-class specific parameters (specific gravity, particle inclination,</w:t>
      </w:r>
      <w:r>
        <w:t xml:space="preserve"> </w:t>
      </w:r>
      <w:r>
        <w:t xml:space="preserve">and average diameter) were derived from a previous study where I used parameters</w:t>
      </w:r>
      <w:r>
        <w:t xml:space="preserve"> </w:t>
      </w:r>
      <w:r>
        <w:t xml:space="preserve">averaged across all of the measured plots</w:t>
      </w:r>
      <w:r>
        <w:t xml:space="preserve"> </w:t>
      </w:r>
      <w:r>
        <w:t xml:space="preserve">(Glebocki, 2015)</w:t>
      </w:r>
      <w:r>
        <w:t xml:space="preserve">.</w:t>
      </w:r>
      <w:r>
        <w:t xml:space="preserve"> </w:t>
      </w:r>
      <w:r>
        <w:t xml:space="preserve">For 1,000-hr fuels, decay classes 1-3 were considered</w:t>
      </w:r>
      <w:r>
        <w:t xml:space="preserve"> </w:t>
      </w:r>
      <w:r>
        <w:t xml:space="preserve">“</w:t>
      </w:r>
      <w:r>
        <w:t xml:space="preserve">sound</w:t>
      </w:r>
      <w:r>
        <w:t xml:space="preserve">”</w:t>
      </w:r>
      <w:r>
        <w:t xml:space="preserve"> </w:t>
      </w:r>
      <w:r>
        <w:t xml:space="preserve">and decay classes</w:t>
      </w:r>
      <w:r>
        <w:t xml:space="preserve"> </w:t>
      </w:r>
      <w:r>
        <w:t xml:space="preserve">4 and 5 were considered</w:t>
      </w:r>
      <w:r>
        <w:t xml:space="preserve"> </w:t>
      </w:r>
      <w:r>
        <w:t xml:space="preserve">“</w:t>
      </w:r>
      <w:r>
        <w:t xml:space="preserve">rotten</w:t>
      </w:r>
      <w:r>
        <w:t xml:space="preserve">”</w:t>
      </w:r>
      <w:r>
        <w:t xml:space="preserve"> </w:t>
      </w:r>
      <w:r>
        <w:t xml:space="preserve">for the purpose of calculating load and these</w:t>
      </w:r>
      <w:r>
        <w:t xml:space="preserve"> </w:t>
      </w:r>
      <w:r>
        <w:t xml:space="preserve">loads were combined. Duff and litter were measured at two locations along each</w:t>
      </w:r>
      <w:r>
        <w:t xml:space="preserve"> </w:t>
      </w:r>
      <w:r>
        <w:t xml:space="preserve">transect and these were averaged at the transect level. We did not measure the</w:t>
      </w:r>
      <w:r>
        <w:t xml:space="preserve"> </w:t>
      </w:r>
      <w:r>
        <w:t xml:space="preserve">bulk density of duff and litter fuels, but based on findings in other studies in</w:t>
      </w:r>
      <w:r>
        <w:t xml:space="preserve"> </w:t>
      </w:r>
      <w:r>
        <w:t xml:space="preserve">the redwood region, we opted to combine these classes into a single fuel class,</w:t>
      </w:r>
      <w:r>
        <w:t xml:space="preserve"> </w:t>
      </w:r>
      <w:r>
        <w:t xml:space="preserve">using an average bulk density found across those studies of 7.73 Mg ha</w:t>
      </w:r>
      <w:r>
        <w:rPr>
          <w:vertAlign w:val="superscript"/>
        </w:rPr>
        <w:t xml:space="preserve">-1</w:t>
      </w:r>
      <w:r>
        <w:t xml:space="preserve"> </w:t>
      </w:r>
      <w:r>
        <w:t xml:space="preserve">(Finney &amp; Martin, 1993a; Kittredge, 1940; Stuart, 1985)</w:t>
      </w:r>
      <w:r>
        <w:t xml:space="preserve">.</w:t>
      </w:r>
      <w:r>
        <w:t xml:space="preserve"> </w:t>
      </w:r>
      <w:r>
        <w:t xml:space="preserve">Vegetation fuel load was calculated using bulk density constants of 8 Mg ha</w:t>
      </w:r>
      <w:r>
        <w:rPr>
          <w:vertAlign w:val="superscript"/>
        </w:rPr>
        <w:t xml:space="preserve">-1</w:t>
      </w:r>
      <w:r>
        <w:t xml:space="preserve"> </w:t>
      </w:r>
      <w:r>
        <w:t xml:space="preserve">m</w:t>
      </w:r>
      <w:r>
        <w:rPr>
          <w:vertAlign w:val="superscript"/>
        </w:rPr>
        <w:t xml:space="preserve">-1</w:t>
      </w:r>
      <w:r>
        <w:t xml:space="preserve"> </w:t>
      </w:r>
      <w:r>
        <w:t xml:space="preserve">for herbaceous fuels and 18 Mg ha</w:t>
      </w:r>
      <w:r>
        <w:rPr>
          <w:vertAlign w:val="superscript"/>
        </w:rPr>
        <w:t xml:space="preserve">-1</w:t>
      </w:r>
      <w:r>
        <w:t xml:space="preserve"> </w:t>
      </w:r>
      <w:r>
        <w:t xml:space="preserve">m</w:t>
      </w:r>
      <w:r>
        <w:rPr>
          <w:vertAlign w:val="superscript"/>
        </w:rPr>
        <w:t xml:space="preserve">-1</w:t>
      </w:r>
      <w:r>
        <w:t xml:space="preserve"> </w:t>
      </w:r>
      <w:r>
        <w:t xml:space="preserve">for woody components</w:t>
      </w:r>
      <w:r>
        <w:t xml:space="preserve"> </w:t>
      </w:r>
      <w:r>
        <w:t xml:space="preserve">(Gangi, 2006)</w:t>
      </w:r>
      <w:r>
        <w:t xml:space="preserve">. Live and dead components were combined to</w:t>
      </w:r>
      <w:r>
        <w:t xml:space="preserve"> </w:t>
      </w:r>
      <w:r>
        <w:t xml:space="preserve">calculate herbaceous and woody loading and these loadings were combined and</w:t>
      </w:r>
      <w:r>
        <w:t xml:space="preserve"> </w:t>
      </w:r>
      <w:r>
        <w:t xml:space="preserve">averaged at the transect level (again there were two measurements per transect)</w:t>
      </w:r>
      <w:r>
        <w:t xml:space="preserve"> </w:t>
      </w:r>
      <w:r>
        <w:t xml:space="preserve">to determine total vegetation loading. Herbaceous fuel loading was generally</w:t>
      </w:r>
      <w:r>
        <w:t xml:space="preserve"> </w:t>
      </w:r>
      <w:r>
        <w:t xml:space="preserve">very low.</w:t>
      </w:r>
    </w:p>
    <w:bookmarkEnd w:id="48"/>
    <w:bookmarkStart w:id="49" w:name="sprout-heights"/>
    <w:p>
      <w:pPr>
        <w:pStyle w:val="Heading3"/>
      </w:pPr>
      <w:r>
        <w:t xml:space="preserve">2.4.2 Sprout heights</w:t>
      </w:r>
    </w:p>
    <w:p>
      <w:pPr>
        <w:pStyle w:val="FirstParagraph"/>
      </w:pPr>
      <w:r>
        <w:t xml:space="preserve">Two metrics were analyzed from the sprout height data: height increment (m</w:t>
      </w:r>
      <w:r>
        <w:t xml:space="preserve"> </w:t>
      </w:r>
      <w:r>
        <w:t xml:space="preserve">year</w:t>
      </w:r>
      <w:r>
        <w:rPr>
          <w:vertAlign w:val="superscript"/>
        </w:rPr>
        <w:t xml:space="preserve">-1</w:t>
      </w:r>
      <w:r>
        <w:t xml:space="preserve">), and total height (m) at year 10. For height increment, there were two</w:t>
      </w:r>
      <w:r>
        <w:t xml:space="preserve"> </w:t>
      </w:r>
      <w:r>
        <w:t xml:space="preserve">measurements for each tree: increment for years 1 to 5 and increment for years 5</w:t>
      </w:r>
      <w:r>
        <w:t xml:space="preserve"> </w:t>
      </w:r>
      <w:r>
        <w:t xml:space="preserve">to 10. Thus, analysis of this data included</w:t>
      </w:r>
      <w:r>
        <w:t xml:space="preserve"> </w:t>
      </w:r>
      <w:r>
        <w:rPr>
          <w:rStyle w:val="VerbatimChar"/>
        </w:rPr>
        <w:t xml:space="preserve">tree</w:t>
      </w:r>
      <w:r>
        <w:t xml:space="preserve"> </w:t>
      </w:r>
      <w:r>
        <w:t xml:space="preserve">as a candidate random effect.</w:t>
      </w:r>
      <w:r>
        <w:t xml:space="preserve"> </w:t>
      </w:r>
      <w:r>
        <w:t xml:space="preserve">While not making a difference for analysis results, it is worth noting that this</w:t>
      </w:r>
      <w:r>
        <w:t xml:space="preserve"> </w:t>
      </w:r>
      <w:r>
        <w:t xml:space="preserve">data was structured differently from the other datasets in that</w:t>
      </w:r>
      <w:r>
        <w:t xml:space="preserve"> </w:t>
      </w:r>
      <w:r>
        <w:rPr>
          <w:rStyle w:val="VerbatimChar"/>
        </w:rPr>
        <w:t xml:space="preserve">plot</w:t>
      </w:r>
      <w:r>
        <w:t xml:space="preserve"> </w:t>
      </w:r>
      <w:r>
        <w:t xml:space="preserve">was made</w:t>
      </w:r>
      <w:r>
        <w:t xml:space="preserve"> </w:t>
      </w:r>
      <w:r>
        <w:t xml:space="preserve">a globally unique identifier, thus making explicit the nesting of plots within</w:t>
      </w:r>
      <w:r>
        <w:t xml:space="preserve"> </w:t>
      </w:r>
      <w:r>
        <w:t xml:space="preserve">sites or treatments and eliminating the need to specify this nesting structure</w:t>
      </w:r>
      <w:r>
        <w:t xml:space="preserve"> </w:t>
      </w:r>
      <w:r>
        <w:t xml:space="preserve">in the R code model formulas.</w:t>
      </w:r>
    </w:p>
    <w:bookmarkEnd w:id="49"/>
    <w:bookmarkStart w:id="50" w:name="regeneration-density"/>
    <w:p>
      <w:pPr>
        <w:pStyle w:val="Heading3"/>
      </w:pPr>
      <w:r>
        <w:t xml:space="preserve">2.4.3 Regeneration density</w:t>
      </w:r>
    </w:p>
    <w:p>
      <w:pPr>
        <w:pStyle w:val="FirstParagraph"/>
      </w:pPr>
      <w:r>
        <w:t xml:space="preserve">Sprout census data from our 4-meter-radius regeneration plots were converted to</w:t>
      </w:r>
      <w:r>
        <w:t xml:space="preserve"> </w:t>
      </w:r>
      <w:r>
        <w:t xml:space="preserve">basal area per acre per species. Tallies of species by size class for sprouts</w:t>
      </w:r>
      <w:r>
        <w:t xml:space="preserve"> </w:t>
      </w:r>
      <w:r>
        <w:t xml:space="preserve">less than 5 cm dbh were converted to diameters using the class midpoint (1.27 or</w:t>
      </w:r>
      <w:r>
        <w:t xml:space="preserve"> </w:t>
      </w:r>
      <w:r>
        <w:t xml:space="preserve">3.81 cm) before calculating basal area per acre. Minor species (e.g., those</w:t>
      </w:r>
      <w:r>
        <w:t xml:space="preserve"> </w:t>
      </w:r>
      <w:r>
        <w:t xml:space="preserve">other than redwood, tanoak, and Douglas-fir) were combined into an</w:t>
      </w:r>
      <w:r>
        <w:t xml:space="preserve"> </w:t>
      </w:r>
      <w:r>
        <w:t xml:space="preserve">“</w:t>
      </w:r>
      <w:r>
        <w:t xml:space="preserve">other</w:t>
      </w:r>
      <w:r>
        <w:t xml:space="preserve">”</w:t>
      </w:r>
      <w:r>
        <w:t xml:space="preserve"> </w:t>
      </w:r>
      <w:r>
        <w:t xml:space="preserve">category. Missing species on a plot were made explicit by assigning a value of 0</w:t>
      </w:r>
      <w:r>
        <w:t xml:space="preserve"> </w:t>
      </w:r>
      <w:r>
        <w:t xml:space="preserve">m</w:t>
      </w:r>
      <w:r>
        <w:rPr>
          <w:vertAlign w:val="superscript"/>
        </w:rPr>
        <w:t xml:space="preserve">2</w:t>
      </w:r>
      <w:r>
        <w:t xml:space="preserve"> </w:t>
      </w:r>
      <w:r>
        <w:t xml:space="preserve">ha</w:t>
      </w:r>
      <w:r>
        <w:rPr>
          <w:vertAlign w:val="superscript"/>
        </w:rPr>
        <w:t xml:space="preserve">-1</w:t>
      </w:r>
      <w:r>
        <w:t xml:space="preserve"> </w:t>
      </w:r>
      <w:r>
        <w:t xml:space="preserve">for that species and plot. In addition to basal area, Douglas-fir</w:t>
      </w:r>
      <w:r>
        <w:t xml:space="preserve"> </w:t>
      </w:r>
      <w:r>
        <w:t xml:space="preserve">stem counts (stems ha</w:t>
      </w:r>
      <w:r>
        <w:rPr>
          <w:vertAlign w:val="superscript"/>
        </w:rPr>
        <w:t xml:space="preserve">-1</w:t>
      </w:r>
      <w:r>
        <w:t xml:space="preserve">) were modeled separately.</w:t>
      </w:r>
    </w:p>
    <w:bookmarkEnd w:id="50"/>
    <w:bookmarkEnd w:id="51"/>
    <w:bookmarkEnd w:id="52"/>
    <w:bookmarkStart w:id="118" w:name="results"/>
    <w:p>
      <w:pPr>
        <w:pStyle w:val="Heading1"/>
      </w:pPr>
      <w:r>
        <w:t xml:space="preserve">3. Results</w:t>
      </w:r>
    </w:p>
    <w:bookmarkStart w:id="74" w:name="regeneration-composition"/>
    <w:p>
      <w:pPr>
        <w:pStyle w:val="Heading2"/>
      </w:pPr>
      <w:r>
        <w:t xml:space="preserve">3.1 Regeneration composition</w:t>
      </w:r>
    </w:p>
    <w:bookmarkStart w:id="65" w:name="basal-area"/>
    <w:p>
      <w:pPr>
        <w:pStyle w:val="Heading3"/>
      </w:pPr>
      <w:r>
        <w:t xml:space="preserve">3.1.1 Basal area</w:t>
      </w:r>
    </w:p>
    <w:p>
      <w:pPr>
        <w:pStyle w:val="FirstParagraph"/>
      </w:pPr>
      <w:r>
        <w:t xml:space="preserve">Composition of regeneration in terms of basal area per acre represented by each</w:t>
      </w:r>
      <w:r>
        <w:t xml:space="preserve"> </w:t>
      </w:r>
      <w:r>
        <w:t xml:space="preserve">species in a 4-meter radius vegetation plot was modeled as a gamma distribution</w:t>
      </w:r>
      <w:r>
        <w:t xml:space="preserve"> </w:t>
      </w:r>
      <w:r>
        <w:t xml:space="preserve">with a log link with fixed effects for treatment and species, and random</w:t>
      </w:r>
      <w:r>
        <w:t xml:space="preserve"> </w:t>
      </w:r>
      <w:r>
        <w:t xml:space="preserve">intercepts for site x species interaction. Dispersion was modeled separately as</w:t>
      </w:r>
      <w:r>
        <w:t xml:space="preserve"> </w:t>
      </w:r>
      <w:r>
        <w:t xml:space="preserve">a function of species, using a log link and the rate of zeros was modeled using</w:t>
      </w:r>
      <w:r>
        <w:t xml:space="preserve"> </w:t>
      </w:r>
      <w:r>
        <w:t xml:space="preserve">the logit link, for each species as well (</w:t>
      </w:r>
      <w:hyperlink w:anchor="lst-regen-ba">
        <w:r>
          <w:rPr>
            <w:rStyle w:val="Hyperlink"/>
          </w:rPr>
          <w:t xml:space="preserve">Listing 3.1</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53" w:name="lst-regen-ba"/>
          <w:p>
            <w:pPr>
              <w:jc w:val="center"/>
            </w:pPr>
            <w:pPr>
              <w:jc w:val="start"/>
              <w:spacing w:before="200"/>
              <w:pStyle w:val="ImageCaption"/>
            </w:pPr>
            <w:r>
              <w:t xml:space="preserve">Listing 3.1</w:t>
            </w:r>
          </w:p>
          <w:p>
            <w:pPr>
              <w:pStyle w:val="SourceCode"/>
              <w:jc w:val="center"/>
            </w:pPr>
            <w:r>
              <w:rPr>
                <w:rStyle w:val="VerbatimChar"/>
              </w:rPr>
              <w:t xml:space="preserve">Family: Gamma (log) </w:t>
            </w:r>
            <w:r>
              <w:br/>
            </w:r>
            <w:r>
              <w:rPr>
                <w:rStyle w:val="VerbatimChar"/>
              </w:rPr>
              <w:t xml:space="preserve">Conditional: ba_ha ~ treat * spp + (1 | site:spp)  </w:t>
            </w:r>
            <w:r>
              <w:br/>
            </w:r>
            <w:r>
              <w:rPr>
                <w:rStyle w:val="VerbatimChar"/>
              </w:rPr>
              <w:t xml:space="preserve">Dispersion: ~spp (log) </w:t>
            </w:r>
            <w:r>
              <w:br/>
            </w:r>
            <w:r>
              <w:rPr>
                <w:rStyle w:val="VerbatimChar"/>
              </w:rPr>
              <w:t xml:space="preserve">Hurdle: ~spp (logit) </w:t>
            </w:r>
          </w:p>
          <w:bookmarkEnd w:id="53"/>
        </w:tc>
      </w:tr>
    </w:tbl>
    <w:p>
      <w:pPr>
        <w:pStyle w:val="SourceCode"/>
      </w:pPr>
      <w:r>
        <w:rPr>
          <w:rStyle w:val="VerbatimChar"/>
        </w:rPr>
        <w:t xml:space="preserve">Adding missing grouping variables: `spp`</w:t>
      </w:r>
      <w:r>
        <w:br/>
      </w:r>
      <w:r>
        <w:rPr>
          <w:rStyle w:val="VerbatimChar"/>
        </w:rPr>
        <w:t xml:space="preserve">Adding missing grouping variables: `spp`</w:t>
      </w:r>
      <w:r>
        <w:br/>
      </w:r>
      <w:r>
        <w:rPr>
          <w:rStyle w:val="VerbatimChar"/>
        </w:rPr>
        <w:t xml:space="preserve">Adding missing grouping variables: `spp`</w:t>
      </w:r>
    </w:p>
    <w:p>
      <w:pPr>
        <w:pStyle w:val="FirstParagraph"/>
      </w:pPr>
      <w:r>
        <w:t xml:space="preserve">According to predictions made from this model,</w:t>
      </w:r>
      <w:r>
        <w:t xml:space="preserve"> </w:t>
      </w:r>
      <w:r>
        <w:t xml:space="preserve">there was not enough evidence to confirm a statistically significant difference between treatments.</w:t>
      </w:r>
      <w:r>
        <w:t xml:space="preserve"> </w:t>
      </w:r>
      <w:r>
        <w:t xml:space="preserve">On average, we expect about 0.11 m</w:t>
      </w:r>
      <w:r>
        <w:rPr>
          <w:vertAlign w:val="superscript"/>
        </w:rPr>
        <w:t xml:space="preserve">2</w:t>
      </w:r>
      <w:r>
        <w:t xml:space="preserve"> </w:t>
      </w:r>
      <w:r>
        <w:t xml:space="preserve">ha</w:t>
      </w:r>
      <w:r>
        <w:rPr>
          <w:vertAlign w:val="superscript"/>
        </w:rPr>
        <w:t xml:space="preserve">-1</w:t>
      </w:r>
      <w:r>
        <w:t xml:space="preserve"> </w:t>
      </w:r>
      <w:r>
        <w:t xml:space="preserve">of basal area across treatments.</w:t>
      </w:r>
      <w:r>
        <w:t xml:space="preserve"> </w:t>
      </w:r>
      <w:r>
        <w:t xml:space="preserve">The greatest basal area of other species was in the HD treatment</w:t>
      </w:r>
      <w:r>
        <w:t xml:space="preserve"> </w:t>
      </w:r>
      <w:r>
        <w:t xml:space="preserve">which was 0.12 m</w:t>
      </w:r>
      <w:r>
        <w:rPr>
          <w:vertAlign w:val="superscript"/>
        </w:rPr>
        <w:t xml:space="preserve">2</w:t>
      </w:r>
      <w:r>
        <w:t xml:space="preserve"> </w:t>
      </w:r>
      <w:r>
        <w:t xml:space="preserve">ha</w:t>
      </w:r>
      <w:r>
        <w:rPr>
          <w:vertAlign w:val="superscript"/>
        </w:rPr>
        <w:t xml:space="preserve">-1</w:t>
      </w:r>
      <w:r>
        <w:t xml:space="preserve"> </w:t>
      </w:r>
      <w:r>
        <w:t xml:space="preserve">greater than in the HA</w:t>
      </w:r>
      <w:r>
        <w:t xml:space="preserve"> </w:t>
      </w:r>
      <w:r>
        <w:t xml:space="preserve">treatment (p = 0.26). The GS and LD treatments were</w:t>
      </w:r>
      <w:r>
        <w:t xml:space="preserve"> </w:t>
      </w:r>
      <w:r>
        <w:t xml:space="preserve">intermediate.</w:t>
      </w:r>
    </w:p>
    <w:p>
      <w:pPr>
        <w:pStyle w:val="BodyText"/>
      </w:pPr>
      <w:r>
        <w:t xml:space="preserve">On average, for Douglas-fir, we expect about 0.17 m</w:t>
      </w:r>
      <w:r>
        <w:rPr>
          <w:vertAlign w:val="superscript"/>
        </w:rPr>
        <w:t xml:space="preserve">2</w:t>
      </w:r>
      <w:r>
        <w:t xml:space="preserve"> </w:t>
      </w:r>
      <w:r>
        <w:t xml:space="preserve">ha</w:t>
      </w:r>
      <w:r>
        <w:rPr>
          <w:vertAlign w:val="superscript"/>
        </w:rPr>
        <w:t xml:space="preserve">-1</w:t>
      </w:r>
      <w:r>
        <w:t xml:space="preserve"> </w:t>
      </w:r>
      <w:r>
        <w:t xml:space="preserve">of basal area across treatments. The greatest basal area of Douglas-fir</w:t>
      </w:r>
      <w:r>
        <w:t xml:space="preserve"> </w:t>
      </w:r>
      <w:r>
        <w:t xml:space="preserve">was in the GS treatment which was 0.12</w:t>
      </w:r>
      <w:r>
        <w:t xml:space="preserve"> </w:t>
      </w:r>
      <w:r>
        <w:t xml:space="preserve">m</w:t>
      </w:r>
      <w:r>
        <w:rPr>
          <w:vertAlign w:val="superscript"/>
        </w:rPr>
        <w:t xml:space="preserve">2</w:t>
      </w:r>
      <w:r>
        <w:t xml:space="preserve"> </w:t>
      </w:r>
      <w:r>
        <w:t xml:space="preserve">ha</w:t>
      </w:r>
      <w:r>
        <w:rPr>
          <w:vertAlign w:val="superscript"/>
        </w:rPr>
        <w:t xml:space="preserve">-1</w:t>
      </w:r>
      <w:r>
        <w:t xml:space="preserve"> </w:t>
      </w:r>
      <w:r>
        <w:t xml:space="preserve">greater than in the HA treatment (p = 0.76). The LD, HA, and HD treatments were all comparatively</w:t>
      </w:r>
      <w:r>
        <w:t xml:space="preserve"> </w:t>
      </w:r>
      <w:r>
        <w:t xml:space="preserve">similar.</w:t>
      </w:r>
    </w:p>
    <w:p>
      <w:pPr>
        <w:pStyle w:val="BodyText"/>
      </w:pPr>
      <w:r>
        <w:t xml:space="preserve">Redwood basal area regeneration showed the greatest treatment response. Where</w:t>
      </w:r>
      <w:r>
        <w:t xml:space="preserve"> </w:t>
      </w:r>
      <w:r>
        <w:t xml:space="preserve">the GS treatment had the greatest basal area of redwood regeneration at m</w:t>
      </w:r>
      <w:r>
        <w:rPr>
          <w:vertAlign w:val="superscript"/>
        </w:rPr>
        <w:t xml:space="preserve">2</w:t>
      </w:r>
      <w:r>
        <w:t xml:space="preserve"> </w:t>
      </w:r>
      <w:r>
        <w:t xml:space="preserve">ha</w:t>
      </w:r>
      <w:r>
        <w:rPr>
          <w:vertAlign w:val="superscript"/>
        </w:rPr>
        <w:t xml:space="preserve">-1</w:t>
      </w:r>
      <w:r>
        <w:t xml:space="preserve">,</w:t>
      </w:r>
      <w:r>
        <w:t xml:space="preserve"> </w:t>
      </w:r>
      <w:r>
        <w:t xml:space="preserve">which was 9.28 m</w:t>
      </w:r>
      <w:r>
        <w:rPr>
          <w:vertAlign w:val="superscript"/>
        </w:rPr>
        <w:t xml:space="preserve">2</w:t>
      </w:r>
      <w:r>
        <w:t xml:space="preserve"> </w:t>
      </w:r>
      <w:r>
        <w:t xml:space="preserve">ha</w:t>
      </w:r>
      <w:r>
        <w:rPr>
          <w:vertAlign w:val="superscript"/>
        </w:rPr>
        <w:t xml:space="preserve">-1</w:t>
      </w:r>
      <w:r>
        <w:t xml:space="preserve"> </w:t>
      </w:r>
      <w:r>
        <w:t xml:space="preserve">greater than in the HD treatment</w:t>
      </w:r>
      <w:r>
        <w:t xml:space="preserve"> </w:t>
      </w:r>
      <w:r>
        <w:t xml:space="preserve">(p = 0.19). The LD and HD treatments were</w:t>
      </w:r>
      <w:r>
        <w:t xml:space="preserve"> </w:t>
      </w:r>
      <w:r>
        <w:t xml:space="preserve">intermediate.</w:t>
      </w:r>
    </w:p>
    <w:p>
      <w:pPr>
        <w:pStyle w:val="BodyText"/>
      </w:pPr>
      <w:r>
        <w:t xml:space="preserve">Tanoak basal area regeneration was intermediate between that of redwood and</w:t>
      </w:r>
      <w:r>
        <w:t xml:space="preserve"> </w:t>
      </w:r>
      <w:r>
        <w:t xml:space="preserve">Douglas-fir and other species. The GS and LD treatments had similar responses, as</w:t>
      </w:r>
      <w:r>
        <w:t xml:space="preserve"> </w:t>
      </w:r>
      <w:r>
        <w:t xml:space="preserve">did the HA and HD treatments. The GS treatment resulted in 2.24</w:t>
      </w:r>
      <w:r>
        <w:t xml:space="preserve"> </w:t>
      </w:r>
      <w:r>
        <w:t xml:space="preserve">m</w:t>
      </w:r>
      <w:r>
        <w:rPr>
          <w:vertAlign w:val="superscript"/>
        </w:rPr>
        <w:t xml:space="preserve">2</w:t>
      </w:r>
      <w:r>
        <w:t xml:space="preserve"> </w:t>
      </w:r>
      <w:r>
        <w:t xml:space="preserve">ha</w:t>
      </w:r>
      <w:r>
        <w:rPr>
          <w:vertAlign w:val="superscript"/>
        </w:rPr>
        <w:t xml:space="preserve">-1</w:t>
      </w:r>
      <w:r>
        <w:t xml:space="preserve"> </w:t>
      </w:r>
      <w:r>
        <w:t xml:space="preserve">of tanoak basal area, which was 1.33</w:t>
      </w:r>
      <w:r>
        <w:t xml:space="preserve"> </w:t>
      </w:r>
      <w:r>
        <w:t xml:space="preserve">m</w:t>
      </w:r>
      <w:r>
        <w:rPr>
          <w:vertAlign w:val="superscript"/>
        </w:rPr>
        <w:t xml:space="preserve">2</w:t>
      </w:r>
      <w:r>
        <w:t xml:space="preserve"> </w:t>
      </w:r>
      <w:r>
        <w:t xml:space="preserve">ha</w:t>
      </w:r>
      <w:r>
        <w:rPr>
          <w:vertAlign w:val="superscript"/>
        </w:rPr>
        <w:t xml:space="preserve">-1</w:t>
      </w:r>
      <w:r>
        <w:t xml:space="preserve"> </w:t>
      </w:r>
      <w:r>
        <w:t xml:space="preserve">greater than in the HA treatment</w:t>
      </w:r>
      <w:r>
        <w:t xml:space="preserve"> </w:t>
      </w:r>
      <w:r>
        <w:t xml:space="preserve">(p = 0.18).</w:t>
      </w:r>
    </w:p>
    <w:tbl>
      <w:tblPr>
        <w:tblStyle w:val="Table"/>
        <w:tblW w:type="pct" w:w="5000"/>
        <w:tblLook w:firstRow="0" w:lastRow="0" w:firstColumn="0" w:lastColumn="0" w:noHBand="0" w:noVBand="0" w:val="0000"/>
        <w:jc w:val="start"/>
        <w:tblLayout w:type="fixed"/>
      </w:tblPr>
      <w:tblGrid>
        <w:gridCol w:w="7920"/>
      </w:tblGrid>
      <w:tr>
        <w:tc>
          <w:tcPr/>
          <w:bookmarkStart w:id="54" w:name="tbl-regen-ba-grand-means"/>
          <w:p>
            <w:pPr>
              <w:jc w:val="center"/>
            </w:pPr>
            <w:pPr>
              <w:jc w:val="start"/>
              <w:spacing w:before="200"/>
              <w:pStyle w:val="ImageCaption"/>
            </w:pPr>
            <w:r>
              <w:t xml:space="preserve">Table 3.1: Grand means (m</w:t>
            </w:r>
            <w:r>
              <w:rPr>
                <w:vertAlign w:val="superscript"/>
              </w:rPr>
              <w:t xml:space="preserve">2</w:t>
            </w:r>
            <w:r>
              <w:t xml:space="preserve"> </w:t>
            </w:r>
            <w:r>
              <w:t xml:space="preserve">ha</w:t>
            </w:r>
            <w:r>
              <w:rPr>
                <w:vertAlign w:val="superscript"/>
              </w:rPr>
              <w:t xml:space="preserve">-1</w:t>
            </w:r>
            <w:r>
              <w:t xml:space="preserve">) for basal area of regeneration of each species across treatments 10 years after the initiation of a multi-age redwood forest.</w:t>
            </w:r>
          </w:p>
          <w:tbl>
            <w:tblPr>
              <w:tblStyle w:val="Table"/>
              <w:tblW w:type="pct" w:w="4583"/>
              <w:tblLook w:firstRow="1" w:lastRow="0" w:firstColumn="0" w:lastColumn="0" w:noHBand="0" w:noVBand="0" w:val="0020"/>
              <w:jc w:val="start"/>
              <w:tblLayout w:type="fixed"/>
            </w:tblPr>
            <w:tblGrid>
              <w:gridCol w:w="880"/>
              <w:gridCol w:w="1100"/>
              <w:gridCol w:w="1210"/>
              <w:gridCol w:w="770"/>
              <w:gridCol w:w="660"/>
              <w:gridCol w:w="1320"/>
              <w:gridCol w:w="1320"/>
            </w:tblGrid>
            <w:tr>
              <w:trPr>
                <w:tblHeader w:val="true"/>
              </w:trPr>
              <w:tc>
                <w:tcPr/>
                <w:p>
                  <w:pPr>
                    <w:pStyle w:val="Compact"/>
                    <w:jc w:val="left"/>
                    <w:jc w:val="center"/>
                  </w:pPr>
                  <w:r>
                    <w:t xml:space="preserve">spp</w:t>
                  </w:r>
                </w:p>
              </w:tc>
              <w:tc>
                <w:tcPr/>
                <w:p>
                  <w:pPr>
                    <w:pStyle w:val="Compact"/>
                    <w:jc w:val="left"/>
                    <w:jc w:val="center"/>
                  </w:pPr>
                  <w:r>
                    <w:t xml:space="preserve">1</w:t>
                  </w:r>
                </w:p>
              </w:tc>
              <w:tc>
                <w:tcPr/>
                <w:p>
                  <w:pPr>
                    <w:pStyle w:val="Compact"/>
                    <w:jc w:val="left"/>
                    <w:jc w:val="center"/>
                  </w:pPr>
                  <w:r>
                    <w:t xml:space="preserve">estimate</w:t>
                  </w:r>
                </w:p>
              </w:tc>
              <w:tc>
                <w:tcPr/>
                <w:p>
                  <w:pPr>
                    <w:pStyle w:val="Compact"/>
                    <w:jc w:val="left"/>
                    <w:jc w:val="center"/>
                  </w:pPr>
                  <w:r>
                    <w:t xml:space="preserve">SE</w:t>
                  </w:r>
                </w:p>
              </w:tc>
              <w:tc>
                <w:tcPr/>
                <w:p>
                  <w:pPr>
                    <w:pStyle w:val="Compact"/>
                    <w:jc w:val="left"/>
                    <w:jc w:val="center"/>
                  </w:pPr>
                  <w:r>
                    <w:t xml:space="preserve">df</w:t>
                  </w:r>
                </w:p>
              </w:tc>
              <w:tc>
                <w:tcPr/>
                <w:p>
                  <w:pPr>
                    <w:pStyle w:val="Compact"/>
                    <w:jc w:val="left"/>
                    <w:jc w:val="center"/>
                  </w:pPr>
                  <w:r>
                    <w:t xml:space="preserve">asymp.LCL</w:t>
                  </w:r>
                </w:p>
              </w:tc>
              <w:tc>
                <w:tcPr/>
                <w:p>
                  <w:pPr>
                    <w:pStyle w:val="Compact"/>
                    <w:jc w:val="left"/>
                    <w:jc w:val="center"/>
                  </w:pPr>
                  <w:r>
                    <w:t xml:space="preserve">asymp.UCL</w:t>
                  </w:r>
                </w:p>
              </w:tc>
            </w:tr>
            <w:tr>
              <w:tc>
                <w:tcPr/>
                <w:p>
                  <w:pPr>
                    <w:pStyle w:val="Compact"/>
                    <w:jc w:val="left"/>
                    <w:jc w:val="center"/>
                  </w:pPr>
                  <w:r>
                    <w:t xml:space="preserve">other</w:t>
                  </w:r>
                </w:p>
              </w:tc>
              <w:tc>
                <w:tcPr/>
                <w:p>
                  <w:pPr>
                    <w:pStyle w:val="Compact"/>
                    <w:jc w:val="left"/>
                    <w:jc w:val="center"/>
                  </w:pPr>
                  <w:r>
                    <w:t xml:space="preserve">overall</w:t>
                  </w:r>
                </w:p>
              </w:tc>
              <w:tc>
                <w:tcPr/>
                <w:p>
                  <w:pPr>
                    <w:pStyle w:val="Compact"/>
                    <w:jc w:val="left"/>
                    <w:jc w:val="center"/>
                  </w:pPr>
                  <w:r>
                    <w:t xml:space="preserve">0.11</w:t>
                  </w:r>
                </w:p>
              </w:tc>
              <w:tc>
                <w:tcPr/>
                <w:p>
                  <w:pPr>
                    <w:pStyle w:val="Compact"/>
                    <w:jc w:val="left"/>
                    <w:jc w:val="center"/>
                  </w:pPr>
                  <w:r>
                    <w:t xml:space="preserve">0.04</w:t>
                  </w:r>
                </w:p>
              </w:tc>
              <w:tc>
                <w:tcPr/>
                <w:p>
                  <w:pPr>
                    <w:pStyle w:val="Compact"/>
                    <w:jc w:val="left"/>
                    <w:jc w:val="center"/>
                  </w:pPr>
                  <w:r>
                    <w:t xml:space="preserve">Inf</w:t>
                  </w:r>
                </w:p>
              </w:tc>
              <w:tc>
                <w:tcPr/>
                <w:p>
                  <w:pPr>
                    <w:pStyle w:val="Compact"/>
                    <w:jc w:val="left"/>
                    <w:jc w:val="center"/>
                  </w:pPr>
                  <w:r>
                    <w:t xml:space="preserve">0.03</w:t>
                  </w:r>
                </w:p>
              </w:tc>
              <w:tc>
                <w:tcPr/>
                <w:p>
                  <w:pPr>
                    <w:pStyle w:val="Compact"/>
                    <w:jc w:val="left"/>
                    <w:jc w:val="center"/>
                  </w:pPr>
                  <w:r>
                    <w:t xml:space="preserve">0.19</w:t>
                  </w:r>
                </w:p>
              </w:tc>
            </w:tr>
            <w:tr>
              <w:tc>
                <w:tcPr/>
                <w:p>
                  <w:pPr>
                    <w:pStyle w:val="Compact"/>
                    <w:jc w:val="left"/>
                    <w:jc w:val="center"/>
                  </w:pPr>
                  <w:r>
                    <w:t xml:space="preserve">df</w:t>
                  </w:r>
                </w:p>
              </w:tc>
              <w:tc>
                <w:tcPr/>
                <w:p>
                  <w:pPr>
                    <w:pStyle w:val="Compact"/>
                    <w:jc w:val="left"/>
                    <w:jc w:val="center"/>
                  </w:pPr>
                  <w:r>
                    <w:t xml:space="preserve">overall</w:t>
                  </w:r>
                </w:p>
              </w:tc>
              <w:tc>
                <w:tcPr/>
                <w:p>
                  <w:pPr>
                    <w:pStyle w:val="Compact"/>
                    <w:jc w:val="left"/>
                    <w:jc w:val="center"/>
                  </w:pPr>
                  <w:r>
                    <w:t xml:space="preserve">0.17</w:t>
                  </w:r>
                </w:p>
              </w:tc>
              <w:tc>
                <w:tcPr/>
                <w:p>
                  <w:pPr>
                    <w:pStyle w:val="Compact"/>
                    <w:jc w:val="left"/>
                    <w:jc w:val="center"/>
                  </w:pPr>
                  <w:r>
                    <w:t xml:space="preserve">0.06</w:t>
                  </w:r>
                </w:p>
              </w:tc>
              <w:tc>
                <w:tcPr/>
                <w:p>
                  <w:pPr>
                    <w:pStyle w:val="Compact"/>
                    <w:jc w:val="left"/>
                    <w:jc w:val="center"/>
                  </w:pPr>
                  <w:r>
                    <w:t xml:space="preserve">Inf</w:t>
                  </w:r>
                </w:p>
              </w:tc>
              <w:tc>
                <w:tcPr/>
                <w:p>
                  <w:pPr>
                    <w:pStyle w:val="Compact"/>
                    <w:jc w:val="left"/>
                    <w:jc w:val="center"/>
                  </w:pPr>
                  <w:r>
                    <w:t xml:space="preserve">0.05</w:t>
                  </w:r>
                </w:p>
              </w:tc>
              <w:tc>
                <w:tcPr/>
                <w:p>
                  <w:pPr>
                    <w:pStyle w:val="Compact"/>
                    <w:jc w:val="left"/>
                    <w:jc w:val="center"/>
                  </w:pPr>
                  <w:r>
                    <w:t xml:space="preserve">0.28</w:t>
                  </w:r>
                </w:p>
              </w:tc>
            </w:tr>
            <w:tr>
              <w:tc>
                <w:tcPr/>
                <w:p>
                  <w:pPr>
                    <w:pStyle w:val="Compact"/>
                    <w:jc w:val="left"/>
                    <w:jc w:val="center"/>
                  </w:pPr>
                  <w:r>
                    <w:t xml:space="preserve">rw</w:t>
                  </w:r>
                </w:p>
              </w:tc>
              <w:tc>
                <w:tcPr/>
                <w:p>
                  <w:pPr>
                    <w:pStyle w:val="Compact"/>
                    <w:jc w:val="left"/>
                    <w:jc w:val="center"/>
                  </w:pPr>
                  <w:r>
                    <w:t xml:space="preserve">overall</w:t>
                  </w:r>
                </w:p>
              </w:tc>
              <w:tc>
                <w:tcPr/>
                <w:p>
                  <w:pPr>
                    <w:pStyle w:val="Compact"/>
                    <w:jc w:val="left"/>
                    <w:jc w:val="center"/>
                  </w:pPr>
                  <w:r>
                    <w:t xml:space="preserve">4.03</w:t>
                  </w:r>
                </w:p>
              </w:tc>
              <w:tc>
                <w:tcPr/>
                <w:p>
                  <w:pPr>
                    <w:pStyle w:val="Compact"/>
                    <w:jc w:val="left"/>
                    <w:jc w:val="center"/>
                  </w:pPr>
                  <w:r>
                    <w:t xml:space="preserve">1.52</w:t>
                  </w:r>
                </w:p>
              </w:tc>
              <w:tc>
                <w:tcPr/>
                <w:p>
                  <w:pPr>
                    <w:pStyle w:val="Compact"/>
                    <w:jc w:val="left"/>
                    <w:jc w:val="center"/>
                  </w:pPr>
                  <w:r>
                    <w:t xml:space="preserve">Inf</w:t>
                  </w:r>
                </w:p>
              </w:tc>
              <w:tc>
                <w:tcPr/>
                <w:p>
                  <w:pPr>
                    <w:pStyle w:val="Compact"/>
                    <w:jc w:val="left"/>
                    <w:jc w:val="center"/>
                  </w:pPr>
                  <w:r>
                    <w:t xml:space="preserve">1.04</w:t>
                  </w:r>
                </w:p>
              </w:tc>
              <w:tc>
                <w:tcPr/>
                <w:p>
                  <w:pPr>
                    <w:pStyle w:val="Compact"/>
                    <w:jc w:val="left"/>
                    <w:jc w:val="center"/>
                  </w:pPr>
                  <w:r>
                    <w:t xml:space="preserve">7.01</w:t>
                  </w:r>
                </w:p>
              </w:tc>
            </w:tr>
            <w:tr>
              <w:tc>
                <w:tcPr/>
                <w:p>
                  <w:pPr>
                    <w:pStyle w:val="Compact"/>
                    <w:jc w:val="left"/>
                    <w:jc w:val="center"/>
                  </w:pPr>
                  <w:r>
                    <w:t xml:space="preserve">to</w:t>
                  </w:r>
                </w:p>
              </w:tc>
              <w:tc>
                <w:tcPr/>
                <w:p>
                  <w:pPr>
                    <w:pStyle w:val="Compact"/>
                    <w:jc w:val="left"/>
                    <w:jc w:val="center"/>
                  </w:pPr>
                  <w:r>
                    <w:t xml:space="preserve">overall</w:t>
                  </w:r>
                </w:p>
              </w:tc>
              <w:tc>
                <w:tcPr/>
                <w:p>
                  <w:pPr>
                    <w:pStyle w:val="Compact"/>
                    <w:jc w:val="left"/>
                    <w:jc w:val="center"/>
                  </w:pPr>
                  <w:r>
                    <w:t xml:space="preserve">1.59</w:t>
                  </w:r>
                </w:p>
              </w:tc>
              <w:tc>
                <w:tcPr/>
                <w:p>
                  <w:pPr>
                    <w:pStyle w:val="Compact"/>
                    <w:jc w:val="left"/>
                    <w:jc w:val="center"/>
                  </w:pPr>
                  <w:r>
                    <w:t xml:space="preserve">0.47</w:t>
                  </w:r>
                </w:p>
              </w:tc>
              <w:tc>
                <w:tcPr/>
                <w:p>
                  <w:pPr>
                    <w:pStyle w:val="Compact"/>
                    <w:jc w:val="left"/>
                    <w:jc w:val="center"/>
                  </w:pPr>
                  <w:r>
                    <w:t xml:space="preserve">Inf</w:t>
                  </w:r>
                </w:p>
              </w:tc>
              <w:tc>
                <w:tcPr/>
                <w:p>
                  <w:pPr>
                    <w:pStyle w:val="Compact"/>
                    <w:jc w:val="left"/>
                    <w:jc w:val="center"/>
                  </w:pPr>
                  <w:r>
                    <w:t xml:space="preserve">0.67</w:t>
                  </w:r>
                </w:p>
              </w:tc>
              <w:tc>
                <w:tcPr/>
                <w:p>
                  <w:pPr>
                    <w:pStyle w:val="Compact"/>
                    <w:jc w:val="left"/>
                    <w:jc w:val="center"/>
                  </w:pPr>
                  <w:r>
                    <w:t xml:space="preserve">2.50</w:t>
                  </w:r>
                </w:p>
              </w:tc>
            </w:tr>
          </w:tbl>
          <w:bookmarkEnd w:id="54"/>
          <w:p/>
        </w:tc>
      </w:tr>
    </w:tbl>
    <w:p>
      <w:pPr>
        <w:pStyle w:val="SourceCode"/>
      </w:pPr>
      <w:r>
        <w:rPr>
          <w:rStyle w:val="VerbatimChar"/>
        </w:rPr>
        <w:t xml:space="preserve">Adding missing grouping variables: `spp`</w:t>
      </w:r>
    </w:p>
    <w:tbl>
      <w:tblPr>
        <w:tblStyle w:val="Table"/>
        <w:tblW w:type="pct" w:w="5000"/>
        <w:tblLook w:firstRow="0" w:lastRow="0" w:firstColumn="0" w:lastColumn="0" w:noHBand="0" w:noVBand="0" w:val="0000"/>
        <w:jc w:val="start"/>
        <w:tblLayout w:type="fixed"/>
      </w:tblPr>
      <w:tblGrid>
        <w:gridCol w:w="7920"/>
      </w:tblGrid>
      <w:tr>
        <w:tc>
          <w:tcPr/>
          <w:bookmarkStart w:id="58" w:name="fig-regen-ba"/>
          <w:p>
            <w:pPr>
              <w:pStyle w:val="Compact"/>
              <w:jc w:val="center"/>
            </w:pPr>
            <w:r>
              <w:drawing>
                <wp:inline>
                  <wp:extent cx="4620126" cy="3696101"/>
                  <wp:effectExtent b="0" l="0" r="0" t="0"/>
                  <wp:docPr descr="" title="" id="56" name="Picture"/>
                  <a:graphic>
                    <a:graphicData uri="http://schemas.openxmlformats.org/drawingml/2006/picture">
                      <pic:pic>
                        <pic:nvPicPr>
                          <pic:cNvPr descr="thesis/results_files/figure-docx/fig-regen-ba-1.png" id="57" name="Picture"/>
                          <pic:cNvPicPr>
                            <a:picLocks noChangeArrowheads="1" noChangeAspect="1"/>
                          </pic:cNvPicPr>
                        </pic:nvPicPr>
                        <pic:blipFill>
                          <a:blip r:embed="rId55"/>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 Basal area (m</w:t>
            </w:r>
            <w:r>
              <w:rPr>
                <w:vertAlign w:val="superscript"/>
              </w:rPr>
              <w:t xml:space="preserve">2</w:t>
            </w:r>
            <w:r>
              <w:t xml:space="preserve"> </w:t>
            </w:r>
            <w:r>
              <w:t xml:space="preserve">ha</w:t>
            </w:r>
            <w:r>
              <w:rPr>
                <w:vertAlign w:val="superscript"/>
              </w:rPr>
              <w:t xml:space="preserve">-1</w:t>
            </w:r>
            <w:r>
              <w:t xml:space="preserve">) modeled at the vegetation plot level for four harvest treatments and four species classes (n = 16). Gray bars represent the 95% confidence interval (α = 0.05), black dots indicate the mean, and blue arrows provide a means of assessing the statistical significance of pairwise differences among treatments. Arrows are drawn so that when two arrows just meet, the p-value for that difference is 0.05 and overlapping arrows indicate a p-values greater than 0.05.</w:t>
            </w:r>
          </w:p>
          <w:bookmarkEnd w:id="58"/>
        </w:tc>
      </w:tr>
    </w:tbl>
    <w:p>
      <w:pPr>
        <w:pStyle w:val="SourceCode"/>
      </w:pPr>
      <w:r>
        <w:rPr>
          <w:rStyle w:val="VerbatimChar"/>
        </w:rPr>
        <w:t xml:space="preserve">Adding missing grouping variables: `spp`</w:t>
      </w:r>
    </w:p>
    <w:tbl>
      <w:tblPr>
        <w:tblStyle w:val="Table"/>
        <w:tblW w:type="pct" w:w="5000"/>
        <w:tblLook w:firstRow="0" w:lastRow="0" w:firstColumn="0" w:lastColumn="0" w:noHBand="0" w:noVBand="0" w:val="0000"/>
        <w:jc w:val="start"/>
        <w:tblLayout w:type="fixed"/>
      </w:tblPr>
      <w:tblGrid>
        <w:gridCol w:w="7920"/>
      </w:tblGrid>
      <w:tr>
        <w:tc>
          <w:tcPr/>
          <w:bookmarkStart w:id="59" w:name="tbl-regen-ba"/>
          <w:p>
            <w:pPr>
              <w:jc w:val="center"/>
            </w:pPr>
            <w:pPr>
              <w:jc w:val="start"/>
              <w:spacing w:before="200"/>
              <w:pStyle w:val="ImageCaption"/>
            </w:pPr>
            <w:r>
              <w:t xml:space="preserve">Table 3.2: Basal area (m</w:t>
            </w:r>
            <w:r>
              <w:rPr>
                <w:vertAlign w:val="superscript"/>
              </w:rPr>
              <w:t xml:space="preserve">2</w:t>
            </w:r>
            <w:r>
              <w:t xml:space="preserve"> </w:t>
            </w:r>
            <w:r>
              <w:t xml:space="preserve">ha</w:t>
            </w:r>
            <w:r>
              <w:rPr>
                <w:vertAlign w:val="superscript"/>
              </w:rPr>
              <w:t xml:space="preserve">-1</w:t>
            </w:r>
            <w:r>
              <w:t xml:space="preserve">) modeled at the vegetation plot level for four harvest treatments and four species classes (n = 16).</w:t>
            </w:r>
          </w:p>
          <w:tbl>
            <w:tblPr>
              <w:tblStyle w:val="Table"/>
              <w:tblW w:type="pct" w:w="4658"/>
              <w:tblLook w:firstRow="1" w:lastRow="0" w:firstColumn="0" w:lastColumn="0" w:noHBand="0" w:noVBand="0" w:val="0020"/>
              <w:jc w:val="start"/>
              <w:tblLayout w:type="fixed"/>
            </w:tblPr>
            <w:tblGrid>
              <w:gridCol w:w="867"/>
              <w:gridCol w:w="1301"/>
              <w:gridCol w:w="1193"/>
              <w:gridCol w:w="759"/>
              <w:gridCol w:w="650"/>
              <w:gridCol w:w="1301"/>
              <w:gridCol w:w="1301"/>
            </w:tblGrid>
            <w:tr>
              <w:trPr>
                <w:tblHeader w:val="true"/>
              </w:trPr>
              <w:tc>
                <w:tcPr/>
                <w:p>
                  <w:pPr>
                    <w:pStyle w:val="Compact"/>
                    <w:jc w:val="left"/>
                    <w:jc w:val="center"/>
                  </w:pPr>
                  <w:r>
                    <w:t xml:space="preserve">spp</w:t>
                  </w:r>
                </w:p>
              </w:tc>
              <w:tc>
                <w:tcPr/>
                <w:p>
                  <w:pPr>
                    <w:pStyle w:val="Compact"/>
                    <w:jc w:val="left"/>
                    <w:jc w:val="center"/>
                  </w:pPr>
                  <w:r>
                    <w:t xml:space="preserve">treatment</w:t>
                  </w:r>
                </w:p>
              </w:tc>
              <w:tc>
                <w:tcPr/>
                <w:p>
                  <w:pPr>
                    <w:pStyle w:val="Compact"/>
                    <w:jc w:val="left"/>
                    <w:jc w:val="center"/>
                  </w:pPr>
                  <w:r>
                    <w:t xml:space="preserve">estimate</w:t>
                  </w:r>
                </w:p>
              </w:tc>
              <w:tc>
                <w:tcPr/>
                <w:p>
                  <w:pPr>
                    <w:pStyle w:val="Compact"/>
                    <w:jc w:val="left"/>
                    <w:jc w:val="center"/>
                  </w:pPr>
                  <w:r>
                    <w:t xml:space="preserve">SE</w:t>
                  </w:r>
                </w:p>
              </w:tc>
              <w:tc>
                <w:tcPr/>
                <w:p>
                  <w:pPr>
                    <w:pStyle w:val="Compact"/>
                    <w:jc w:val="left"/>
                    <w:jc w:val="center"/>
                  </w:pPr>
                  <w:r>
                    <w:t xml:space="preserve">df</w:t>
                  </w:r>
                </w:p>
              </w:tc>
              <w:tc>
                <w:tcPr/>
                <w:p>
                  <w:pPr>
                    <w:pStyle w:val="Compact"/>
                    <w:jc w:val="left"/>
                    <w:jc w:val="center"/>
                  </w:pPr>
                  <w:r>
                    <w:t xml:space="preserve">asymp.LCL</w:t>
                  </w:r>
                </w:p>
              </w:tc>
              <w:tc>
                <w:tcPr/>
                <w:p>
                  <w:pPr>
                    <w:pStyle w:val="Compact"/>
                    <w:jc w:val="left"/>
                    <w:jc w:val="center"/>
                  </w:pPr>
                  <w:r>
                    <w:t xml:space="preserve">asymp.UCL</w:t>
                  </w:r>
                </w:p>
              </w:tc>
            </w:tr>
            <w:tr>
              <w:tc>
                <w:tcPr/>
                <w:p>
                  <w:pPr>
                    <w:pStyle w:val="Compact"/>
                    <w:jc w:val="left"/>
                    <w:jc w:val="center"/>
                  </w:pPr>
                  <w:r>
                    <w:t xml:space="preserve">other</w:t>
                  </w:r>
                </w:p>
              </w:tc>
              <w:tc>
                <w:tcPr/>
                <w:p>
                  <w:pPr>
                    <w:pStyle w:val="Compact"/>
                    <w:jc w:val="left"/>
                    <w:jc w:val="center"/>
                  </w:pPr>
                  <w:r>
                    <w:t xml:space="preserve">gs</w:t>
                  </w:r>
                </w:p>
              </w:tc>
              <w:tc>
                <w:tcPr/>
                <w:p>
                  <w:pPr>
                    <w:pStyle w:val="Compact"/>
                    <w:jc w:val="left"/>
                    <w:jc w:val="center"/>
                  </w:pPr>
                  <w:r>
                    <w:t xml:space="preserve">0.13</w:t>
                  </w:r>
                </w:p>
              </w:tc>
              <w:tc>
                <w:tcPr/>
                <w:p>
                  <w:pPr>
                    <w:pStyle w:val="Compact"/>
                    <w:jc w:val="left"/>
                    <w:jc w:val="center"/>
                  </w:pPr>
                  <w:r>
                    <w:t xml:space="preserve">0.08</w:t>
                  </w:r>
                </w:p>
              </w:tc>
              <w:tc>
                <w:tcPr/>
                <w:p>
                  <w:pPr>
                    <w:pStyle w:val="Compact"/>
                    <w:jc w:val="left"/>
                    <w:jc w:val="center"/>
                  </w:pPr>
                  <w:r>
                    <w:t xml:space="preserve">Inf</w:t>
                  </w:r>
                </w:p>
              </w:tc>
              <w:tc>
                <w:tcPr/>
                <w:p>
                  <w:pPr>
                    <w:pStyle w:val="Compact"/>
                    <w:jc w:val="left"/>
                    <w:jc w:val="center"/>
                  </w:pPr>
                  <w:r>
                    <w:t xml:space="preserve">-0.03</w:t>
                  </w:r>
                </w:p>
              </w:tc>
              <w:tc>
                <w:tcPr/>
                <w:p>
                  <w:pPr>
                    <w:pStyle w:val="Compact"/>
                    <w:jc w:val="left"/>
                    <w:jc w:val="center"/>
                  </w:pPr>
                  <w:r>
                    <w:t xml:space="preserve">0.29</w:t>
                  </w:r>
                </w:p>
              </w:tc>
            </w:tr>
            <w:tr>
              <w:tc>
                <w:tcPr/>
                <w:p>
                  <w:pPr>
                    <w:pStyle w:val="Compact"/>
                    <w:jc w:val="left"/>
                    <w:jc w:val="center"/>
                  </w:pPr>
                  <w:r>
                    <w:t xml:space="preserve">other</w:t>
                  </w:r>
                </w:p>
              </w:tc>
              <w:tc>
                <w:tcPr/>
                <w:p>
                  <w:pPr>
                    <w:pStyle w:val="Compact"/>
                    <w:jc w:val="left"/>
                    <w:jc w:val="center"/>
                  </w:pPr>
                  <w:r>
                    <w:t xml:space="preserve">ld</w:t>
                  </w:r>
                </w:p>
              </w:tc>
              <w:tc>
                <w:tcPr/>
                <w:p>
                  <w:pPr>
                    <w:pStyle w:val="Compact"/>
                    <w:jc w:val="left"/>
                    <w:jc w:val="center"/>
                  </w:pPr>
                  <w:r>
                    <w:t xml:space="preserve">0.11</w:t>
                  </w:r>
                </w:p>
              </w:tc>
              <w:tc>
                <w:tcPr/>
                <w:p>
                  <w:pPr>
                    <w:pStyle w:val="Compact"/>
                    <w:jc w:val="left"/>
                    <w:jc w:val="center"/>
                  </w:pPr>
                  <w:r>
                    <w:t xml:space="preserve">0.06</w:t>
                  </w:r>
                </w:p>
              </w:tc>
              <w:tc>
                <w:tcPr/>
                <w:p>
                  <w:pPr>
                    <w:pStyle w:val="Compact"/>
                    <w:jc w:val="left"/>
                    <w:jc w:val="center"/>
                  </w:pPr>
                  <w:r>
                    <w:t xml:space="preserve">Inf</w:t>
                  </w:r>
                </w:p>
              </w:tc>
              <w:tc>
                <w:tcPr/>
                <w:p>
                  <w:pPr>
                    <w:pStyle w:val="Compact"/>
                    <w:jc w:val="left"/>
                    <w:jc w:val="center"/>
                  </w:pPr>
                  <w:r>
                    <w:t xml:space="preserve">-0</w:t>
                  </w:r>
                </w:p>
              </w:tc>
              <w:tc>
                <w:tcPr/>
                <w:p>
                  <w:pPr>
                    <w:pStyle w:val="Compact"/>
                    <w:jc w:val="left"/>
                    <w:jc w:val="center"/>
                  </w:pPr>
                  <w:r>
                    <w:t xml:space="preserve">0.23</w:t>
                  </w:r>
                </w:p>
              </w:tc>
            </w:tr>
            <w:tr>
              <w:tc>
                <w:tcPr/>
                <w:p>
                  <w:pPr>
                    <w:pStyle w:val="Compact"/>
                    <w:jc w:val="left"/>
                    <w:jc w:val="center"/>
                  </w:pPr>
                  <w:r>
                    <w:t xml:space="preserve">other</w:t>
                  </w:r>
                </w:p>
              </w:tc>
              <w:tc>
                <w:tcPr/>
                <w:p>
                  <w:pPr>
                    <w:pStyle w:val="Compact"/>
                    <w:jc w:val="left"/>
                    <w:jc w:val="center"/>
                  </w:pPr>
                  <w:r>
                    <w:t xml:space="preserve">ha</w:t>
                  </w:r>
                </w:p>
              </w:tc>
              <w:tc>
                <w:tcPr/>
                <w:p>
                  <w:pPr>
                    <w:pStyle w:val="Compact"/>
                    <w:jc w:val="left"/>
                    <w:jc w:val="center"/>
                  </w:pPr>
                  <w:r>
                    <w:t xml:space="preserve">0.04</w:t>
                  </w:r>
                </w:p>
              </w:tc>
              <w:tc>
                <w:tcPr/>
                <w:p>
                  <w:pPr>
                    <w:pStyle w:val="Compact"/>
                    <w:jc w:val="left"/>
                    <w:jc w:val="center"/>
                  </w:pPr>
                  <w:r>
                    <w:t xml:space="preserve">0.02</w:t>
                  </w:r>
                </w:p>
              </w:tc>
              <w:tc>
                <w:tcPr/>
                <w:p>
                  <w:pPr>
                    <w:pStyle w:val="Compact"/>
                    <w:jc w:val="left"/>
                    <w:jc w:val="center"/>
                  </w:pPr>
                  <w:r>
                    <w:t xml:space="preserve">Inf</w:t>
                  </w:r>
                </w:p>
              </w:tc>
              <w:tc>
                <w:tcPr/>
                <w:p>
                  <w:pPr>
                    <w:pStyle w:val="Compact"/>
                    <w:jc w:val="left"/>
                    <w:jc w:val="center"/>
                  </w:pPr>
                  <w:r>
                    <w:t xml:space="preserve">-0</w:t>
                  </w:r>
                </w:p>
              </w:tc>
              <w:tc>
                <w:tcPr/>
                <w:p>
                  <w:pPr>
                    <w:pStyle w:val="Compact"/>
                    <w:jc w:val="left"/>
                    <w:jc w:val="center"/>
                  </w:pPr>
                  <w:r>
                    <w:t xml:space="preserve">0.07</w:t>
                  </w:r>
                </w:p>
              </w:tc>
            </w:tr>
            <w:tr>
              <w:tc>
                <w:tcPr/>
                <w:p>
                  <w:pPr>
                    <w:pStyle w:val="Compact"/>
                    <w:jc w:val="left"/>
                    <w:jc w:val="center"/>
                  </w:pPr>
                  <w:r>
                    <w:t xml:space="preserve">other</w:t>
                  </w:r>
                </w:p>
              </w:tc>
              <w:tc>
                <w:tcPr/>
                <w:p>
                  <w:pPr>
                    <w:pStyle w:val="Compact"/>
                    <w:jc w:val="left"/>
                    <w:jc w:val="center"/>
                  </w:pPr>
                  <w:r>
                    <w:t xml:space="preserve">hd</w:t>
                  </w:r>
                </w:p>
              </w:tc>
              <w:tc>
                <w:tcPr/>
                <w:p>
                  <w:pPr>
                    <w:pStyle w:val="Compact"/>
                    <w:jc w:val="left"/>
                    <w:jc w:val="center"/>
                  </w:pPr>
                  <w:r>
                    <w:t xml:space="preserve">0.16</w:t>
                  </w:r>
                </w:p>
              </w:tc>
              <w:tc>
                <w:tcPr/>
                <w:p>
                  <w:pPr>
                    <w:pStyle w:val="Compact"/>
                    <w:jc w:val="left"/>
                    <w:jc w:val="center"/>
                  </w:pPr>
                  <w:r>
                    <w:t xml:space="preserve">0.07</w:t>
                  </w:r>
                </w:p>
              </w:tc>
              <w:tc>
                <w:tcPr/>
                <w:p>
                  <w:pPr>
                    <w:pStyle w:val="Compact"/>
                    <w:jc w:val="left"/>
                    <w:jc w:val="center"/>
                  </w:pPr>
                  <w:r>
                    <w:t xml:space="preserve">Inf</w:t>
                  </w:r>
                </w:p>
              </w:tc>
              <w:tc>
                <w:tcPr/>
                <w:p>
                  <w:pPr>
                    <w:pStyle w:val="Compact"/>
                    <w:jc w:val="left"/>
                    <w:jc w:val="center"/>
                  </w:pPr>
                  <w:r>
                    <w:t xml:space="preserve">0.02</w:t>
                  </w:r>
                </w:p>
              </w:tc>
              <w:tc>
                <w:tcPr/>
                <w:p>
                  <w:pPr>
                    <w:pStyle w:val="Compact"/>
                    <w:jc w:val="left"/>
                    <w:jc w:val="center"/>
                  </w:pPr>
                  <w:r>
                    <w:t xml:space="preserve">0.3</w:t>
                  </w:r>
                </w:p>
              </w:tc>
            </w:tr>
            <w:tr>
              <w:tc>
                <w:tcPr/>
                <w:p>
                  <w:pPr>
                    <w:pStyle w:val="Compact"/>
                    <w:jc w:val="left"/>
                    <w:jc w:val="center"/>
                  </w:pPr>
                  <w:r>
                    <w:t xml:space="preserve">df</w:t>
                  </w:r>
                </w:p>
              </w:tc>
              <w:tc>
                <w:tcPr/>
                <w:p>
                  <w:pPr>
                    <w:pStyle w:val="Compact"/>
                    <w:jc w:val="left"/>
                    <w:jc w:val="center"/>
                  </w:pPr>
                  <w:r>
                    <w:t xml:space="preserve">gs</w:t>
                  </w:r>
                </w:p>
              </w:tc>
              <w:tc>
                <w:tcPr/>
                <w:p>
                  <w:pPr>
                    <w:pStyle w:val="Compact"/>
                    <w:jc w:val="left"/>
                    <w:jc w:val="center"/>
                  </w:pPr>
                  <w:r>
                    <w:t xml:space="preserve">0.28</w:t>
                  </w:r>
                </w:p>
              </w:tc>
              <w:tc>
                <w:tcPr/>
                <w:p>
                  <w:pPr>
                    <w:pStyle w:val="Compact"/>
                    <w:jc w:val="left"/>
                    <w:jc w:val="center"/>
                  </w:pPr>
                  <w:r>
                    <w:t xml:space="preserve">0.12</w:t>
                  </w:r>
                </w:p>
              </w:tc>
              <w:tc>
                <w:tcPr/>
                <w:p>
                  <w:pPr>
                    <w:pStyle w:val="Compact"/>
                    <w:jc w:val="left"/>
                    <w:jc w:val="center"/>
                  </w:pPr>
                  <w:r>
                    <w:t xml:space="preserve">Inf</w:t>
                  </w:r>
                </w:p>
              </w:tc>
              <w:tc>
                <w:tcPr/>
                <w:p>
                  <w:pPr>
                    <w:pStyle w:val="Compact"/>
                    <w:jc w:val="left"/>
                    <w:jc w:val="center"/>
                  </w:pPr>
                  <w:r>
                    <w:t xml:space="preserve">0.04</w:t>
                  </w:r>
                </w:p>
              </w:tc>
              <w:tc>
                <w:tcPr/>
                <w:p>
                  <w:pPr>
                    <w:pStyle w:val="Compact"/>
                    <w:jc w:val="left"/>
                    <w:jc w:val="center"/>
                  </w:pPr>
                  <w:r>
                    <w:t xml:space="preserve">0.52</w:t>
                  </w:r>
                </w:p>
              </w:tc>
            </w:tr>
            <w:tr>
              <w:tc>
                <w:tcPr/>
                <w:p>
                  <w:pPr>
                    <w:pStyle w:val="Compact"/>
                    <w:jc w:val="left"/>
                    <w:jc w:val="center"/>
                  </w:pPr>
                  <w:r>
                    <w:t xml:space="preserve">df</w:t>
                  </w:r>
                </w:p>
              </w:tc>
              <w:tc>
                <w:tcPr/>
                <w:p>
                  <w:pPr>
                    <w:pStyle w:val="Compact"/>
                    <w:jc w:val="left"/>
                    <w:jc w:val="center"/>
                  </w:pPr>
                  <w:r>
                    <w:t xml:space="preserve">ld</w:t>
                  </w:r>
                </w:p>
              </w:tc>
              <w:tc>
                <w:tcPr/>
                <w:p>
                  <w:pPr>
                    <w:pStyle w:val="Compact"/>
                    <w:jc w:val="left"/>
                    <w:jc w:val="center"/>
                  </w:pPr>
                  <w:r>
                    <w:t xml:space="preserve">0.11</w:t>
                  </w:r>
                </w:p>
              </w:tc>
              <w:tc>
                <w:tcPr/>
                <w:p>
                  <w:pPr>
                    <w:pStyle w:val="Compact"/>
                    <w:jc w:val="left"/>
                    <w:jc w:val="center"/>
                  </w:pPr>
                  <w:r>
                    <w:t xml:space="preserve">0.05</w:t>
                  </w:r>
                </w:p>
              </w:tc>
              <w:tc>
                <w:tcPr/>
                <w:p>
                  <w:pPr>
                    <w:pStyle w:val="Compact"/>
                    <w:jc w:val="left"/>
                    <w:jc w:val="center"/>
                  </w:pPr>
                  <w:r>
                    <w:t xml:space="preserve">Inf</w:t>
                  </w:r>
                </w:p>
              </w:tc>
              <w:tc>
                <w:tcPr/>
                <w:p>
                  <w:pPr>
                    <w:pStyle w:val="Compact"/>
                    <w:jc w:val="left"/>
                    <w:jc w:val="center"/>
                  </w:pPr>
                  <w:r>
                    <w:t xml:space="preserve">0.02</w:t>
                  </w:r>
                </w:p>
              </w:tc>
              <w:tc>
                <w:tcPr/>
                <w:p>
                  <w:pPr>
                    <w:pStyle w:val="Compact"/>
                    <w:jc w:val="left"/>
                    <w:jc w:val="center"/>
                  </w:pPr>
                  <w:r>
                    <w:t xml:space="preserve">0.21</w:t>
                  </w:r>
                </w:p>
              </w:tc>
            </w:tr>
            <w:tr>
              <w:tc>
                <w:tcPr/>
                <w:p>
                  <w:pPr>
                    <w:pStyle w:val="Compact"/>
                    <w:jc w:val="left"/>
                    <w:jc w:val="center"/>
                  </w:pPr>
                  <w:r>
                    <w:t xml:space="preserve">df</w:t>
                  </w:r>
                </w:p>
              </w:tc>
              <w:tc>
                <w:tcPr/>
                <w:p>
                  <w:pPr>
                    <w:pStyle w:val="Compact"/>
                    <w:jc w:val="left"/>
                    <w:jc w:val="center"/>
                  </w:pPr>
                  <w:r>
                    <w:t xml:space="preserve">ha</w:t>
                  </w:r>
                </w:p>
              </w:tc>
              <w:tc>
                <w:tcPr/>
                <w:p>
                  <w:pPr>
                    <w:pStyle w:val="Compact"/>
                    <w:jc w:val="left"/>
                    <w:jc w:val="center"/>
                  </w:pPr>
                  <w:r>
                    <w:t xml:space="preserve">0.16</w:t>
                  </w:r>
                </w:p>
              </w:tc>
              <w:tc>
                <w:tcPr/>
                <w:p>
                  <w:pPr>
                    <w:pStyle w:val="Compact"/>
                    <w:jc w:val="left"/>
                    <w:jc w:val="center"/>
                  </w:pPr>
                  <w:r>
                    <w:t xml:space="preserve">0.08</w:t>
                  </w:r>
                </w:p>
              </w:tc>
              <w:tc>
                <w:tcPr/>
                <w:p>
                  <w:pPr>
                    <w:pStyle w:val="Compact"/>
                    <w:jc w:val="left"/>
                    <w:jc w:val="center"/>
                  </w:pPr>
                  <w:r>
                    <w:t xml:space="preserve">Inf</w:t>
                  </w:r>
                </w:p>
              </w:tc>
              <w:tc>
                <w:tcPr/>
                <w:p>
                  <w:pPr>
                    <w:pStyle w:val="Compact"/>
                    <w:jc w:val="left"/>
                    <w:jc w:val="center"/>
                  </w:pPr>
                  <w:r>
                    <w:t xml:space="preserve">0.01</w:t>
                  </w:r>
                </w:p>
              </w:tc>
              <w:tc>
                <w:tcPr/>
                <w:p>
                  <w:pPr>
                    <w:pStyle w:val="Compact"/>
                    <w:jc w:val="left"/>
                    <w:jc w:val="center"/>
                  </w:pPr>
                  <w:r>
                    <w:t xml:space="preserve">0.31</w:t>
                  </w:r>
                </w:p>
              </w:tc>
            </w:tr>
            <w:tr>
              <w:tc>
                <w:tcPr/>
                <w:p>
                  <w:pPr>
                    <w:pStyle w:val="Compact"/>
                    <w:jc w:val="left"/>
                    <w:jc w:val="center"/>
                  </w:pPr>
                  <w:r>
                    <w:t xml:space="preserve">df</w:t>
                  </w:r>
                </w:p>
              </w:tc>
              <w:tc>
                <w:tcPr/>
                <w:p>
                  <w:pPr>
                    <w:pStyle w:val="Compact"/>
                    <w:jc w:val="left"/>
                    <w:jc w:val="center"/>
                  </w:pPr>
                  <w:r>
                    <w:t xml:space="preserve">hd</w:t>
                  </w:r>
                </w:p>
              </w:tc>
              <w:tc>
                <w:tcPr/>
                <w:p>
                  <w:pPr>
                    <w:pStyle w:val="Compact"/>
                    <w:jc w:val="left"/>
                    <w:jc w:val="center"/>
                  </w:pPr>
                  <w:r>
                    <w:t xml:space="preserve">0.11</w:t>
                  </w:r>
                </w:p>
              </w:tc>
              <w:tc>
                <w:tcPr/>
                <w:p>
                  <w:pPr>
                    <w:pStyle w:val="Compact"/>
                    <w:jc w:val="left"/>
                    <w:jc w:val="center"/>
                  </w:pPr>
                  <w:r>
                    <w:t xml:space="preserve">0.05</w:t>
                  </w:r>
                </w:p>
              </w:tc>
              <w:tc>
                <w:tcPr/>
                <w:p>
                  <w:pPr>
                    <w:pStyle w:val="Compact"/>
                    <w:jc w:val="left"/>
                    <w:jc w:val="center"/>
                  </w:pPr>
                  <w:r>
                    <w:t xml:space="preserve">Inf</w:t>
                  </w:r>
                </w:p>
              </w:tc>
              <w:tc>
                <w:tcPr/>
                <w:p>
                  <w:pPr>
                    <w:pStyle w:val="Compact"/>
                    <w:jc w:val="left"/>
                    <w:jc w:val="center"/>
                  </w:pPr>
                  <w:r>
                    <w:t xml:space="preserve">0.01</w:t>
                  </w:r>
                </w:p>
              </w:tc>
              <w:tc>
                <w:tcPr/>
                <w:p>
                  <w:pPr>
                    <w:pStyle w:val="Compact"/>
                    <w:jc w:val="left"/>
                    <w:jc w:val="center"/>
                  </w:pPr>
                  <w:r>
                    <w:t xml:space="preserve">0.21</w:t>
                  </w:r>
                </w:p>
              </w:tc>
            </w:tr>
            <w:tr>
              <w:tc>
                <w:tcPr/>
                <w:p>
                  <w:pPr>
                    <w:pStyle w:val="Compact"/>
                    <w:jc w:val="left"/>
                    <w:jc w:val="center"/>
                  </w:pPr>
                  <w:r>
                    <w:t xml:space="preserve">rw</w:t>
                  </w:r>
                </w:p>
              </w:tc>
              <w:tc>
                <w:tcPr/>
                <w:p>
                  <w:pPr>
                    <w:pStyle w:val="Compact"/>
                    <w:jc w:val="left"/>
                    <w:jc w:val="center"/>
                  </w:pPr>
                  <w:r>
                    <w:t xml:space="preserve">gs</w:t>
                  </w:r>
                </w:p>
              </w:tc>
              <w:tc>
                <w:tcPr/>
                <w:p>
                  <w:pPr>
                    <w:pStyle w:val="Compact"/>
                    <w:jc w:val="left"/>
                    <w:jc w:val="center"/>
                  </w:pPr>
                  <w:r>
                    <w:t xml:space="preserve">10.12</w:t>
                  </w:r>
                </w:p>
              </w:tc>
              <w:tc>
                <w:tcPr/>
                <w:p>
                  <w:pPr>
                    <w:pStyle w:val="Compact"/>
                    <w:jc w:val="left"/>
                    <w:jc w:val="center"/>
                  </w:pPr>
                  <w:r>
                    <w:t xml:space="preserve">4.74</w:t>
                  </w:r>
                </w:p>
              </w:tc>
              <w:tc>
                <w:tcPr/>
                <w:p>
                  <w:pPr>
                    <w:pStyle w:val="Compact"/>
                    <w:jc w:val="left"/>
                    <w:jc w:val="center"/>
                  </w:pPr>
                  <w:r>
                    <w:t xml:space="preserve">Inf</w:t>
                  </w:r>
                </w:p>
              </w:tc>
              <w:tc>
                <w:tcPr/>
                <w:p>
                  <w:pPr>
                    <w:pStyle w:val="Compact"/>
                    <w:jc w:val="left"/>
                    <w:jc w:val="center"/>
                  </w:pPr>
                  <w:r>
                    <w:t xml:space="preserve">0.84</w:t>
                  </w:r>
                </w:p>
              </w:tc>
              <w:tc>
                <w:tcPr/>
                <w:p>
                  <w:pPr>
                    <w:pStyle w:val="Compact"/>
                    <w:jc w:val="left"/>
                    <w:jc w:val="center"/>
                  </w:pPr>
                  <w:r>
                    <w:t xml:space="preserve">19.41</w:t>
                  </w:r>
                </w:p>
              </w:tc>
            </w:tr>
            <w:tr>
              <w:tc>
                <w:tcPr/>
                <w:p>
                  <w:pPr>
                    <w:pStyle w:val="Compact"/>
                    <w:jc w:val="left"/>
                    <w:jc w:val="center"/>
                  </w:pPr>
                  <w:r>
                    <w:t xml:space="preserve">rw</w:t>
                  </w:r>
                </w:p>
              </w:tc>
              <w:tc>
                <w:tcPr/>
                <w:p>
                  <w:pPr>
                    <w:pStyle w:val="Compact"/>
                    <w:jc w:val="left"/>
                    <w:jc w:val="center"/>
                  </w:pPr>
                  <w:r>
                    <w:t xml:space="preserve">ld</w:t>
                  </w:r>
                </w:p>
              </w:tc>
              <w:tc>
                <w:tcPr/>
                <w:p>
                  <w:pPr>
                    <w:pStyle w:val="Compact"/>
                    <w:jc w:val="left"/>
                    <w:jc w:val="center"/>
                  </w:pPr>
                  <w:r>
                    <w:t xml:space="preserve">3.63</w:t>
                  </w:r>
                </w:p>
              </w:tc>
              <w:tc>
                <w:tcPr/>
                <w:p>
                  <w:pPr>
                    <w:pStyle w:val="Compact"/>
                    <w:jc w:val="left"/>
                    <w:jc w:val="center"/>
                  </w:pPr>
                  <w:r>
                    <w:t xml:space="preserve">1.91</w:t>
                  </w:r>
                </w:p>
              </w:tc>
              <w:tc>
                <w:tcPr/>
                <w:p>
                  <w:pPr>
                    <w:pStyle w:val="Compact"/>
                    <w:jc w:val="left"/>
                    <w:jc w:val="center"/>
                  </w:pPr>
                  <w:r>
                    <w:t xml:space="preserve">Inf</w:t>
                  </w:r>
                </w:p>
              </w:tc>
              <w:tc>
                <w:tcPr/>
                <w:p>
                  <w:pPr>
                    <w:pStyle w:val="Compact"/>
                    <w:jc w:val="left"/>
                    <w:jc w:val="center"/>
                  </w:pPr>
                  <w:r>
                    <w:t xml:space="preserve">-0.12</w:t>
                  </w:r>
                </w:p>
              </w:tc>
              <w:tc>
                <w:tcPr/>
                <w:p>
                  <w:pPr>
                    <w:pStyle w:val="Compact"/>
                    <w:jc w:val="left"/>
                    <w:jc w:val="center"/>
                  </w:pPr>
                  <w:r>
                    <w:t xml:space="preserve">7.38</w:t>
                  </w:r>
                </w:p>
              </w:tc>
            </w:tr>
            <w:tr>
              <w:tc>
                <w:tcPr/>
                <w:p>
                  <w:pPr>
                    <w:pStyle w:val="Compact"/>
                    <w:jc w:val="left"/>
                    <w:jc w:val="center"/>
                  </w:pPr>
                  <w:r>
                    <w:t xml:space="preserve">rw</w:t>
                  </w:r>
                </w:p>
              </w:tc>
              <w:tc>
                <w:tcPr/>
                <w:p>
                  <w:pPr>
                    <w:pStyle w:val="Compact"/>
                    <w:jc w:val="left"/>
                    <w:jc w:val="center"/>
                  </w:pPr>
                  <w:r>
                    <w:t xml:space="preserve">ha</w:t>
                  </w:r>
                </w:p>
              </w:tc>
              <w:tc>
                <w:tcPr/>
                <w:p>
                  <w:pPr>
                    <w:pStyle w:val="Compact"/>
                    <w:jc w:val="left"/>
                    <w:jc w:val="center"/>
                  </w:pPr>
                  <w:r>
                    <w:t xml:space="preserve">1.51</w:t>
                  </w:r>
                </w:p>
              </w:tc>
              <w:tc>
                <w:tcPr/>
                <w:p>
                  <w:pPr>
                    <w:pStyle w:val="Compact"/>
                    <w:jc w:val="left"/>
                    <w:jc w:val="center"/>
                  </w:pPr>
                  <w:r>
                    <w:t xml:space="preserve">0.78</w:t>
                  </w:r>
                </w:p>
              </w:tc>
              <w:tc>
                <w:tcPr/>
                <w:p>
                  <w:pPr>
                    <w:pStyle w:val="Compact"/>
                    <w:jc w:val="left"/>
                    <w:jc w:val="center"/>
                  </w:pPr>
                  <w:r>
                    <w:t xml:space="preserve">Inf</w:t>
                  </w:r>
                </w:p>
              </w:tc>
              <w:tc>
                <w:tcPr/>
                <w:p>
                  <w:pPr>
                    <w:pStyle w:val="Compact"/>
                    <w:jc w:val="left"/>
                    <w:jc w:val="center"/>
                  </w:pPr>
                  <w:r>
                    <w:t xml:space="preserve">-0.01</w:t>
                  </w:r>
                </w:p>
              </w:tc>
              <w:tc>
                <w:tcPr/>
                <w:p>
                  <w:pPr>
                    <w:pStyle w:val="Compact"/>
                    <w:jc w:val="left"/>
                    <w:jc w:val="center"/>
                  </w:pPr>
                  <w:r>
                    <w:t xml:space="preserve">3.04</w:t>
                  </w:r>
                </w:p>
              </w:tc>
            </w:tr>
            <w:tr>
              <w:tc>
                <w:tcPr/>
                <w:p>
                  <w:pPr>
                    <w:pStyle w:val="Compact"/>
                    <w:jc w:val="left"/>
                    <w:jc w:val="center"/>
                  </w:pPr>
                  <w:r>
                    <w:t xml:space="preserve">rw</w:t>
                  </w:r>
                </w:p>
              </w:tc>
              <w:tc>
                <w:tcPr/>
                <w:p>
                  <w:pPr>
                    <w:pStyle w:val="Compact"/>
                    <w:jc w:val="left"/>
                    <w:jc w:val="center"/>
                  </w:pPr>
                  <w:r>
                    <w:t xml:space="preserve">hd</w:t>
                  </w:r>
                </w:p>
              </w:tc>
              <w:tc>
                <w:tcPr/>
                <w:p>
                  <w:pPr>
                    <w:pStyle w:val="Compact"/>
                    <w:jc w:val="left"/>
                    <w:jc w:val="center"/>
                  </w:pPr>
                  <w:r>
                    <w:t xml:space="preserve">0.85</w:t>
                  </w:r>
                </w:p>
              </w:tc>
              <w:tc>
                <w:tcPr/>
                <w:p>
                  <w:pPr>
                    <w:pStyle w:val="Compact"/>
                    <w:jc w:val="left"/>
                    <w:jc w:val="center"/>
                  </w:pPr>
                  <w:r>
                    <w:t xml:space="preserve">0.52</w:t>
                  </w:r>
                </w:p>
              </w:tc>
              <w:tc>
                <w:tcPr/>
                <w:p>
                  <w:pPr>
                    <w:pStyle w:val="Compact"/>
                    <w:jc w:val="left"/>
                    <w:jc w:val="center"/>
                  </w:pPr>
                  <w:r>
                    <w:t xml:space="preserve">Inf</w:t>
                  </w:r>
                </w:p>
              </w:tc>
              <w:tc>
                <w:tcPr/>
                <w:p>
                  <w:pPr>
                    <w:pStyle w:val="Compact"/>
                    <w:jc w:val="left"/>
                    <w:jc w:val="center"/>
                  </w:pPr>
                  <w:r>
                    <w:t xml:space="preserve">-0.17</w:t>
                  </w:r>
                </w:p>
              </w:tc>
              <w:tc>
                <w:tcPr/>
                <w:p>
                  <w:pPr>
                    <w:pStyle w:val="Compact"/>
                    <w:jc w:val="left"/>
                    <w:jc w:val="center"/>
                  </w:pPr>
                  <w:r>
                    <w:t xml:space="preserve">1.86</w:t>
                  </w:r>
                </w:p>
              </w:tc>
            </w:tr>
            <w:tr>
              <w:tc>
                <w:tcPr/>
                <w:p>
                  <w:pPr>
                    <w:pStyle w:val="Compact"/>
                    <w:jc w:val="left"/>
                    <w:jc w:val="center"/>
                  </w:pPr>
                  <w:r>
                    <w:t xml:space="preserve">to</w:t>
                  </w:r>
                </w:p>
              </w:tc>
              <w:tc>
                <w:tcPr/>
                <w:p>
                  <w:pPr>
                    <w:pStyle w:val="Compact"/>
                    <w:jc w:val="left"/>
                    <w:jc w:val="center"/>
                  </w:pPr>
                  <w:r>
                    <w:t xml:space="preserve">gs</w:t>
                  </w:r>
                </w:p>
              </w:tc>
              <w:tc>
                <w:tcPr/>
                <w:p>
                  <w:pPr>
                    <w:pStyle w:val="Compact"/>
                    <w:jc w:val="left"/>
                    <w:jc w:val="center"/>
                  </w:pPr>
                  <w:r>
                    <w:t xml:space="preserve">2.24</w:t>
                  </w:r>
                </w:p>
              </w:tc>
              <w:tc>
                <w:tcPr/>
                <w:p>
                  <w:pPr>
                    <w:pStyle w:val="Compact"/>
                    <w:jc w:val="left"/>
                    <w:jc w:val="center"/>
                  </w:pPr>
                  <w:r>
                    <w:t xml:space="preserve">0.79</w:t>
                  </w:r>
                </w:p>
              </w:tc>
              <w:tc>
                <w:tcPr/>
                <w:p>
                  <w:pPr>
                    <w:pStyle w:val="Compact"/>
                    <w:jc w:val="left"/>
                    <w:jc w:val="center"/>
                  </w:pPr>
                  <w:r>
                    <w:t xml:space="preserve">Inf</w:t>
                  </w:r>
                </w:p>
              </w:tc>
              <w:tc>
                <w:tcPr/>
                <w:p>
                  <w:pPr>
                    <w:pStyle w:val="Compact"/>
                    <w:jc w:val="left"/>
                    <w:jc w:val="center"/>
                  </w:pPr>
                  <w:r>
                    <w:t xml:space="preserve">0.7</w:t>
                  </w:r>
                </w:p>
              </w:tc>
              <w:tc>
                <w:tcPr/>
                <w:p>
                  <w:pPr>
                    <w:pStyle w:val="Compact"/>
                    <w:jc w:val="left"/>
                    <w:jc w:val="center"/>
                  </w:pPr>
                  <w:r>
                    <w:t xml:space="preserve">3.79</w:t>
                  </w:r>
                </w:p>
              </w:tc>
            </w:tr>
            <w:tr>
              <w:tc>
                <w:tcPr/>
                <w:p>
                  <w:pPr>
                    <w:pStyle w:val="Compact"/>
                    <w:jc w:val="left"/>
                    <w:jc w:val="center"/>
                  </w:pPr>
                  <w:r>
                    <w:t xml:space="preserve">to</w:t>
                  </w:r>
                </w:p>
              </w:tc>
              <w:tc>
                <w:tcPr/>
                <w:p>
                  <w:pPr>
                    <w:pStyle w:val="Compact"/>
                    <w:jc w:val="left"/>
                    <w:jc w:val="center"/>
                  </w:pPr>
                  <w:r>
                    <w:t xml:space="preserve">ld</w:t>
                  </w:r>
                </w:p>
              </w:tc>
              <w:tc>
                <w:tcPr/>
                <w:p>
                  <w:pPr>
                    <w:pStyle w:val="Compact"/>
                    <w:jc w:val="left"/>
                    <w:jc w:val="center"/>
                  </w:pPr>
                  <w:r>
                    <w:t xml:space="preserve">1.94</w:t>
                  </w:r>
                </w:p>
              </w:tc>
              <w:tc>
                <w:tcPr/>
                <w:p>
                  <w:pPr>
                    <w:pStyle w:val="Compact"/>
                    <w:jc w:val="left"/>
                    <w:jc w:val="center"/>
                  </w:pPr>
                  <w:r>
                    <w:t xml:space="preserve">0.69</w:t>
                  </w:r>
                </w:p>
              </w:tc>
              <w:tc>
                <w:tcPr/>
                <w:p>
                  <w:pPr>
                    <w:pStyle w:val="Compact"/>
                    <w:jc w:val="left"/>
                    <w:jc w:val="center"/>
                  </w:pPr>
                  <w:r>
                    <w:t xml:space="preserve">Inf</w:t>
                  </w:r>
                </w:p>
              </w:tc>
              <w:tc>
                <w:tcPr/>
                <w:p>
                  <w:pPr>
                    <w:pStyle w:val="Compact"/>
                    <w:jc w:val="left"/>
                    <w:jc w:val="center"/>
                  </w:pPr>
                  <w:r>
                    <w:t xml:space="preserve">0.58</w:t>
                  </w:r>
                </w:p>
              </w:tc>
              <w:tc>
                <w:tcPr/>
                <w:p>
                  <w:pPr>
                    <w:pStyle w:val="Compact"/>
                    <w:jc w:val="left"/>
                    <w:jc w:val="center"/>
                  </w:pPr>
                  <w:r>
                    <w:t xml:space="preserve">3.3</w:t>
                  </w:r>
                </w:p>
              </w:tc>
            </w:tr>
            <w:tr>
              <w:tc>
                <w:tcPr/>
                <w:p>
                  <w:pPr>
                    <w:pStyle w:val="Compact"/>
                    <w:jc w:val="left"/>
                    <w:jc w:val="center"/>
                  </w:pPr>
                  <w:r>
                    <w:t xml:space="preserve">to</w:t>
                  </w:r>
                </w:p>
              </w:tc>
              <w:tc>
                <w:tcPr/>
                <w:p>
                  <w:pPr>
                    <w:pStyle w:val="Compact"/>
                    <w:jc w:val="left"/>
                    <w:jc w:val="center"/>
                  </w:pPr>
                  <w:r>
                    <w:t xml:space="preserve">ha</w:t>
                  </w:r>
                </w:p>
              </w:tc>
              <w:tc>
                <w:tcPr/>
                <w:p>
                  <w:pPr>
                    <w:pStyle w:val="Compact"/>
                    <w:jc w:val="left"/>
                    <w:jc w:val="center"/>
                  </w:pPr>
                  <w:r>
                    <w:t xml:space="preserve">0.92</w:t>
                  </w:r>
                </w:p>
              </w:tc>
              <w:tc>
                <w:tcPr/>
                <w:p>
                  <w:pPr>
                    <w:pStyle w:val="Compact"/>
                    <w:jc w:val="left"/>
                    <w:jc w:val="center"/>
                  </w:pPr>
                  <w:r>
                    <w:t xml:space="preserve">0.33</w:t>
                  </w:r>
                </w:p>
              </w:tc>
              <w:tc>
                <w:tcPr/>
                <w:p>
                  <w:pPr>
                    <w:pStyle w:val="Compact"/>
                    <w:jc w:val="left"/>
                    <w:jc w:val="center"/>
                  </w:pPr>
                  <w:r>
                    <w:t xml:space="preserve">Inf</w:t>
                  </w:r>
                </w:p>
              </w:tc>
              <w:tc>
                <w:tcPr/>
                <w:p>
                  <w:pPr>
                    <w:pStyle w:val="Compact"/>
                    <w:jc w:val="left"/>
                    <w:jc w:val="center"/>
                  </w:pPr>
                  <w:r>
                    <w:t xml:space="preserve">0.28</w:t>
                  </w:r>
                </w:p>
              </w:tc>
              <w:tc>
                <w:tcPr/>
                <w:p>
                  <w:pPr>
                    <w:pStyle w:val="Compact"/>
                    <w:jc w:val="left"/>
                    <w:jc w:val="center"/>
                  </w:pPr>
                  <w:r>
                    <w:t xml:space="preserve">1.56</w:t>
                  </w:r>
                </w:p>
              </w:tc>
            </w:tr>
            <w:tr>
              <w:tc>
                <w:tcPr/>
                <w:p>
                  <w:pPr>
                    <w:pStyle w:val="Compact"/>
                    <w:jc w:val="left"/>
                    <w:jc w:val="center"/>
                  </w:pPr>
                  <w:r>
                    <w:t xml:space="preserve">to</w:t>
                  </w:r>
                </w:p>
              </w:tc>
              <w:tc>
                <w:tcPr/>
                <w:p>
                  <w:pPr>
                    <w:pStyle w:val="Compact"/>
                    <w:jc w:val="left"/>
                    <w:jc w:val="center"/>
                  </w:pPr>
                  <w:r>
                    <w:t xml:space="preserve">hd</w:t>
                  </w:r>
                </w:p>
              </w:tc>
              <w:tc>
                <w:tcPr/>
                <w:p>
                  <w:pPr>
                    <w:pStyle w:val="Compact"/>
                    <w:jc w:val="left"/>
                    <w:jc w:val="center"/>
                  </w:pPr>
                  <w:r>
                    <w:t xml:space="preserve">1.25</w:t>
                  </w:r>
                </w:p>
              </w:tc>
              <w:tc>
                <w:tcPr/>
                <w:p>
                  <w:pPr>
                    <w:pStyle w:val="Compact"/>
                    <w:jc w:val="left"/>
                    <w:jc w:val="center"/>
                  </w:pPr>
                  <w:r>
                    <w:t xml:space="preserve">0.44</w:t>
                  </w:r>
                </w:p>
              </w:tc>
              <w:tc>
                <w:tcPr/>
                <w:p>
                  <w:pPr>
                    <w:pStyle w:val="Compact"/>
                    <w:jc w:val="left"/>
                    <w:jc w:val="center"/>
                  </w:pPr>
                  <w:r>
                    <w:t xml:space="preserve">Inf</w:t>
                  </w:r>
                </w:p>
              </w:tc>
              <w:tc>
                <w:tcPr/>
                <w:p>
                  <w:pPr>
                    <w:pStyle w:val="Compact"/>
                    <w:jc w:val="left"/>
                    <w:jc w:val="center"/>
                  </w:pPr>
                  <w:r>
                    <w:t xml:space="preserve">0.39</w:t>
                  </w:r>
                </w:p>
              </w:tc>
              <w:tc>
                <w:tcPr/>
                <w:p>
                  <w:pPr>
                    <w:pStyle w:val="Compact"/>
                    <w:jc w:val="left"/>
                    <w:jc w:val="center"/>
                  </w:pPr>
                  <w:r>
                    <w:t xml:space="preserve">2.11</w:t>
                  </w:r>
                </w:p>
              </w:tc>
            </w:tr>
          </w:tbl>
          <w:bookmarkEnd w:id="59"/>
          <w:p/>
        </w:tc>
      </w:tr>
    </w:tbl>
    <w:p>
      <w:pPr>
        <w:pStyle w:val="BodyText"/>
      </w:pPr>
      <w:r>
        <w:t xml:space="preserve"> </w:t>
      </w:r>
    </w:p>
    <w:p>
      <w:pPr>
        <w:pStyle w:val="SourceCode"/>
      </w:pPr>
      <w:r>
        <w:rPr>
          <w:rStyle w:val="VerbatimChar"/>
        </w:rPr>
        <w:t xml:space="preserve">Adding missing grouping variables: `spp`</w:t>
      </w:r>
    </w:p>
    <w:tbl>
      <w:tblPr>
        <w:tblStyle w:val="Table"/>
        <w:tblW w:type="pct" w:w="5000"/>
        <w:tblLook w:firstRow="0" w:lastRow="0" w:firstColumn="0" w:lastColumn="0" w:noHBand="0" w:noVBand="0" w:val="0000"/>
        <w:jc w:val="start"/>
        <w:tblLayout w:type="fixed"/>
      </w:tblPr>
      <w:tblGrid>
        <w:gridCol w:w="7920"/>
      </w:tblGrid>
      <w:tr>
        <w:tc>
          <w:tcPr/>
          <w:bookmarkStart w:id="60" w:name="tbl-regen-ba-compare"/>
          <w:p>
            <w:pPr>
              <w:jc w:val="center"/>
            </w:pPr>
            <w:pPr>
              <w:jc w:val="start"/>
              <w:spacing w:before="200"/>
              <w:pStyle w:val="ImageCaption"/>
            </w:pPr>
            <w:r>
              <w:t xml:space="preserve">Table 3.3: Pairwise comparisons of treatments within species. P-values are adjusted using the Tukey method for comparing families of four estimates.</w:t>
            </w:r>
          </w:p>
          <w:tbl>
            <w:tblPr>
              <w:tblStyle w:val="Table"/>
              <w:tblW w:type="pct" w:w="3681"/>
              <w:tblLook w:firstRow="1" w:lastRow="0" w:firstColumn="0" w:lastColumn="0" w:noHBand="0" w:noVBand="0" w:val="0020"/>
              <w:jc w:val="start"/>
              <w:tblLayout w:type="fixed"/>
            </w:tblPr>
            <w:tblGrid>
              <w:gridCol w:w="880"/>
              <w:gridCol w:w="1210"/>
              <w:gridCol w:w="1210"/>
              <w:gridCol w:w="770"/>
              <w:gridCol w:w="660"/>
              <w:gridCol w:w="1100"/>
            </w:tblGrid>
            <w:tr>
              <w:trPr>
                <w:tblHeader w:val="true"/>
              </w:trPr>
              <w:tc>
                <w:tcPr/>
                <w:p>
                  <w:pPr>
                    <w:pStyle w:val="Compact"/>
                    <w:jc w:val="left"/>
                    <w:jc w:val="center"/>
                  </w:pPr>
                  <w:r>
                    <w:t xml:space="preserve">spp</w:t>
                  </w:r>
                </w:p>
              </w:tc>
              <w:tc>
                <w:tcPr/>
                <w:p>
                  <w:pPr>
                    <w:pStyle w:val="Compact"/>
                    <w:jc w:val="left"/>
                    <w:jc w:val="center"/>
                  </w:pPr>
                  <w:r>
                    <w:t xml:space="preserve">contrast</w:t>
                  </w:r>
                </w:p>
              </w:tc>
              <w:tc>
                <w:tcPr/>
                <w:p>
                  <w:pPr>
                    <w:pStyle w:val="Compact"/>
                    <w:jc w:val="left"/>
                    <w:jc w:val="center"/>
                  </w:pPr>
                  <w:r>
                    <w:t xml:space="preserve">estimate</w:t>
                  </w:r>
                </w:p>
              </w:tc>
              <w:tc>
                <w:tcPr/>
                <w:p>
                  <w:pPr>
                    <w:pStyle w:val="Compact"/>
                    <w:jc w:val="left"/>
                    <w:jc w:val="center"/>
                  </w:pPr>
                  <w:r>
                    <w:t xml:space="preserve">SE</w:t>
                  </w:r>
                </w:p>
              </w:tc>
              <w:tc>
                <w:tcPr/>
                <w:p>
                  <w:pPr>
                    <w:pStyle w:val="Compact"/>
                    <w:jc w:val="left"/>
                    <w:jc w:val="center"/>
                  </w:pPr>
                  <w:r>
                    <w:t xml:space="preserve">df</w:t>
                  </w:r>
                </w:p>
              </w:tc>
              <w:tc>
                <w:tcPr/>
                <w:p>
                  <w:pPr>
                    <w:pStyle w:val="Compact"/>
                    <w:jc w:val="left"/>
                    <w:jc w:val="center"/>
                  </w:pPr>
                  <w:r>
                    <w:t xml:space="preserve">p.value</w:t>
                  </w:r>
                </w:p>
              </w:tc>
            </w:tr>
            <w:tr>
              <w:tc>
                <w:tcPr/>
                <w:p>
                  <w:pPr>
                    <w:pStyle w:val="Compact"/>
                    <w:jc w:val="left"/>
                    <w:jc w:val="center"/>
                  </w:pPr>
                  <w:r>
                    <w:t xml:space="preserve">other</w:t>
                  </w:r>
                </w:p>
              </w:tc>
              <w:tc>
                <w:tcPr/>
                <w:p>
                  <w:pPr>
                    <w:pStyle w:val="Compact"/>
                    <w:jc w:val="left"/>
                    <w:jc w:val="center"/>
                  </w:pPr>
                  <w:r>
                    <w:t xml:space="preserve">gs - ld</w:t>
                  </w:r>
                </w:p>
              </w:tc>
              <w:tc>
                <w:tcPr/>
                <w:p>
                  <w:pPr>
                    <w:pStyle w:val="Compact"/>
                    <w:jc w:val="left"/>
                    <w:jc w:val="center"/>
                  </w:pPr>
                  <w:r>
                    <w:t xml:space="preserve">0.02</w:t>
                  </w:r>
                </w:p>
              </w:tc>
              <w:tc>
                <w:tcPr/>
                <w:p>
                  <w:pPr>
                    <w:pStyle w:val="Compact"/>
                    <w:jc w:val="left"/>
                    <w:jc w:val="center"/>
                  </w:pPr>
                  <w:r>
                    <w:t xml:space="preserve">0.09</w:t>
                  </w:r>
                </w:p>
              </w:tc>
              <w:tc>
                <w:tcPr/>
                <w:p>
                  <w:pPr>
                    <w:pStyle w:val="Compact"/>
                    <w:jc w:val="left"/>
                    <w:jc w:val="center"/>
                  </w:pPr>
                  <w:r>
                    <w:t xml:space="preserve">Inf</w:t>
                  </w:r>
                </w:p>
              </w:tc>
              <w:tc>
                <w:tcPr/>
                <w:p>
                  <w:pPr>
                    <w:pStyle w:val="Compact"/>
                    <w:jc w:val="left"/>
                    <w:jc w:val="center"/>
                  </w:pPr>
                  <w:r>
                    <w:t xml:space="preserve">1</w:t>
                  </w:r>
                </w:p>
              </w:tc>
            </w:tr>
            <w:tr>
              <w:tc>
                <w:tcPr/>
                <w:p>
                  <w:pPr>
                    <w:pStyle w:val="Compact"/>
                    <w:jc w:val="left"/>
                    <w:jc w:val="center"/>
                  </w:pPr>
                  <w:r>
                    <w:t xml:space="preserve">other</w:t>
                  </w:r>
                </w:p>
              </w:tc>
              <w:tc>
                <w:tcPr/>
                <w:p>
                  <w:pPr>
                    <w:pStyle w:val="Compact"/>
                    <w:jc w:val="left"/>
                    <w:jc w:val="center"/>
                  </w:pPr>
                  <w:r>
                    <w:t xml:space="preserve">gs - ha</w:t>
                  </w:r>
                </w:p>
              </w:tc>
              <w:tc>
                <w:tcPr/>
                <w:p>
                  <w:pPr>
                    <w:pStyle w:val="Compact"/>
                    <w:jc w:val="left"/>
                    <w:jc w:val="center"/>
                  </w:pPr>
                  <w:r>
                    <w:t xml:space="preserve">0.09</w:t>
                  </w:r>
                </w:p>
              </w:tc>
              <w:tc>
                <w:tcPr/>
                <w:p>
                  <w:pPr>
                    <w:pStyle w:val="Compact"/>
                    <w:jc w:val="left"/>
                    <w:jc w:val="center"/>
                  </w:pPr>
                  <w:r>
                    <w:t xml:space="preserve">0.08</w:t>
                  </w:r>
                </w:p>
              </w:tc>
              <w:tc>
                <w:tcPr/>
                <w:p>
                  <w:pPr>
                    <w:pStyle w:val="Compact"/>
                    <w:jc w:val="left"/>
                    <w:jc w:val="center"/>
                  </w:pPr>
                  <w:r>
                    <w:t xml:space="preserve">Inf</w:t>
                  </w:r>
                </w:p>
              </w:tc>
              <w:tc>
                <w:tcPr/>
                <w:p>
                  <w:pPr>
                    <w:pStyle w:val="Compact"/>
                    <w:jc w:val="left"/>
                    <w:jc w:val="center"/>
                  </w:pPr>
                  <w:r>
                    <w:t xml:space="preserve">0.6</w:t>
                  </w:r>
                </w:p>
              </w:tc>
            </w:tr>
            <w:tr>
              <w:tc>
                <w:tcPr/>
                <w:p>
                  <w:pPr>
                    <w:pStyle w:val="Compact"/>
                    <w:jc w:val="left"/>
                    <w:jc w:val="center"/>
                  </w:pPr>
                  <w:r>
                    <w:t xml:space="preserve">other</w:t>
                  </w:r>
                </w:p>
              </w:tc>
              <w:tc>
                <w:tcPr/>
                <w:p>
                  <w:pPr>
                    <w:pStyle w:val="Compact"/>
                    <w:jc w:val="left"/>
                    <w:jc w:val="center"/>
                  </w:pPr>
                  <w:r>
                    <w:t xml:space="preserve">gs - hd</w:t>
                  </w:r>
                </w:p>
              </w:tc>
              <w:tc>
                <w:tcPr/>
                <w:p>
                  <w:pPr>
                    <w:pStyle w:val="Compact"/>
                    <w:jc w:val="left"/>
                    <w:jc w:val="center"/>
                  </w:pPr>
                  <w:r>
                    <w:t xml:space="preserve">-0.03</w:t>
                  </w:r>
                </w:p>
              </w:tc>
              <w:tc>
                <w:tcPr/>
                <w:p>
                  <w:pPr>
                    <w:pStyle w:val="Compact"/>
                    <w:jc w:val="left"/>
                    <w:jc w:val="center"/>
                  </w:pPr>
                  <w:r>
                    <w:t xml:space="preserve">0.09</w:t>
                  </w:r>
                </w:p>
              </w:tc>
              <w:tc>
                <w:tcPr/>
                <w:p>
                  <w:pPr>
                    <w:pStyle w:val="Compact"/>
                    <w:jc w:val="left"/>
                    <w:jc w:val="center"/>
                  </w:pPr>
                  <w:r>
                    <w:t xml:space="preserve">Inf</w:t>
                  </w:r>
                </w:p>
              </w:tc>
              <w:tc>
                <w:tcPr/>
                <w:p>
                  <w:pPr>
                    <w:pStyle w:val="Compact"/>
                    <w:jc w:val="left"/>
                    <w:jc w:val="center"/>
                  </w:pPr>
                  <w:r>
                    <w:t xml:space="preserve">0.99</w:t>
                  </w:r>
                </w:p>
              </w:tc>
            </w:tr>
            <w:tr>
              <w:tc>
                <w:tcPr/>
                <w:p>
                  <w:pPr>
                    <w:pStyle w:val="Compact"/>
                    <w:jc w:val="left"/>
                    <w:jc w:val="center"/>
                  </w:pPr>
                  <w:r>
                    <w:t xml:space="preserve">other</w:t>
                  </w:r>
                </w:p>
              </w:tc>
              <w:tc>
                <w:tcPr/>
                <w:p>
                  <w:pPr>
                    <w:pStyle w:val="Compact"/>
                    <w:jc w:val="left"/>
                    <w:jc w:val="center"/>
                  </w:pPr>
                  <w:r>
                    <w:t xml:space="preserve">ld - ha</w:t>
                  </w:r>
                </w:p>
              </w:tc>
              <w:tc>
                <w:tcPr/>
                <w:p>
                  <w:pPr>
                    <w:pStyle w:val="Compact"/>
                    <w:jc w:val="left"/>
                    <w:jc w:val="center"/>
                  </w:pPr>
                  <w:r>
                    <w:t xml:space="preserve">0.08</w:t>
                  </w:r>
                </w:p>
              </w:tc>
              <w:tc>
                <w:tcPr/>
                <w:p>
                  <w:pPr>
                    <w:pStyle w:val="Compact"/>
                    <w:jc w:val="left"/>
                    <w:jc w:val="center"/>
                  </w:pPr>
                  <w:r>
                    <w:t xml:space="preserve">0.06</w:t>
                  </w:r>
                </w:p>
              </w:tc>
              <w:tc>
                <w:tcPr/>
                <w:p>
                  <w:pPr>
                    <w:pStyle w:val="Compact"/>
                    <w:jc w:val="left"/>
                    <w:jc w:val="center"/>
                  </w:pPr>
                  <w:r>
                    <w:t xml:space="preserve">Inf</w:t>
                  </w:r>
                </w:p>
              </w:tc>
              <w:tc>
                <w:tcPr/>
                <w:p>
                  <w:pPr>
                    <w:pStyle w:val="Compact"/>
                    <w:jc w:val="left"/>
                    <w:jc w:val="center"/>
                  </w:pPr>
                  <w:r>
                    <w:t xml:space="preserve">0.53</w:t>
                  </w:r>
                </w:p>
              </w:tc>
            </w:tr>
            <w:tr>
              <w:tc>
                <w:tcPr/>
                <w:p>
                  <w:pPr>
                    <w:pStyle w:val="Compact"/>
                    <w:jc w:val="left"/>
                    <w:jc w:val="center"/>
                  </w:pPr>
                  <w:r>
                    <w:t xml:space="preserve">other</w:t>
                  </w:r>
                </w:p>
              </w:tc>
              <w:tc>
                <w:tcPr/>
                <w:p>
                  <w:pPr>
                    <w:pStyle w:val="Compact"/>
                    <w:jc w:val="left"/>
                    <w:jc w:val="center"/>
                  </w:pPr>
                  <w:r>
                    <w:t xml:space="preserve">ld - hd</w:t>
                  </w:r>
                </w:p>
              </w:tc>
              <w:tc>
                <w:tcPr/>
                <w:p>
                  <w:pPr>
                    <w:pStyle w:val="Compact"/>
                    <w:jc w:val="left"/>
                    <w:jc w:val="center"/>
                  </w:pPr>
                  <w:r>
                    <w:t xml:space="preserve">-0.04</w:t>
                  </w:r>
                </w:p>
              </w:tc>
              <w:tc>
                <w:tcPr/>
                <w:p>
                  <w:pPr>
                    <w:pStyle w:val="Compact"/>
                    <w:jc w:val="left"/>
                    <w:jc w:val="center"/>
                  </w:pPr>
                  <w:r>
                    <w:t xml:space="preserve">0.07</w:t>
                  </w:r>
                </w:p>
              </w:tc>
              <w:tc>
                <w:tcPr/>
                <w:p>
                  <w:pPr>
                    <w:pStyle w:val="Compact"/>
                    <w:jc w:val="left"/>
                    <w:jc w:val="center"/>
                  </w:pPr>
                  <w:r>
                    <w:t xml:space="preserve">Inf</w:t>
                  </w:r>
                </w:p>
              </w:tc>
              <w:tc>
                <w:tcPr/>
                <w:p>
                  <w:pPr>
                    <w:pStyle w:val="Compact"/>
                    <w:jc w:val="left"/>
                    <w:jc w:val="center"/>
                  </w:pPr>
                  <w:r>
                    <w:t xml:space="preserve">0.91</w:t>
                  </w:r>
                </w:p>
              </w:tc>
            </w:tr>
            <w:tr>
              <w:tc>
                <w:tcPr/>
                <w:p>
                  <w:pPr>
                    <w:pStyle w:val="Compact"/>
                    <w:jc w:val="left"/>
                    <w:jc w:val="center"/>
                  </w:pPr>
                  <w:r>
                    <w:t xml:space="preserve">other</w:t>
                  </w:r>
                </w:p>
              </w:tc>
              <w:tc>
                <w:tcPr/>
                <w:p>
                  <w:pPr>
                    <w:pStyle w:val="Compact"/>
                    <w:jc w:val="left"/>
                    <w:jc w:val="center"/>
                  </w:pPr>
                  <w:r>
                    <w:t xml:space="preserve">ha - hd</w:t>
                  </w:r>
                </w:p>
              </w:tc>
              <w:tc>
                <w:tcPr/>
                <w:p>
                  <w:pPr>
                    <w:pStyle w:val="Compact"/>
                    <w:jc w:val="left"/>
                    <w:jc w:val="center"/>
                  </w:pPr>
                  <w:r>
                    <w:t xml:space="preserve">-0.12</w:t>
                  </w:r>
                </w:p>
              </w:tc>
              <w:tc>
                <w:tcPr/>
                <w:p>
                  <w:pPr>
                    <w:pStyle w:val="Compact"/>
                    <w:jc w:val="left"/>
                    <w:jc w:val="center"/>
                  </w:pPr>
                  <w:r>
                    <w:t xml:space="preserve">0.07</w:t>
                  </w:r>
                </w:p>
              </w:tc>
              <w:tc>
                <w:tcPr/>
                <w:p>
                  <w:pPr>
                    <w:pStyle w:val="Compact"/>
                    <w:jc w:val="left"/>
                    <w:jc w:val="center"/>
                  </w:pPr>
                  <w:r>
                    <w:t xml:space="preserve">Inf</w:t>
                  </w:r>
                </w:p>
              </w:tc>
              <w:tc>
                <w:tcPr/>
                <w:p>
                  <w:pPr>
                    <w:pStyle w:val="Compact"/>
                    <w:jc w:val="left"/>
                    <w:jc w:val="center"/>
                  </w:pPr>
                  <w:r>
                    <w:t xml:space="preserve">0.26</w:t>
                  </w:r>
                </w:p>
              </w:tc>
            </w:tr>
            <w:tr>
              <w:tc>
                <w:tcPr/>
                <w:p>
                  <w:pPr>
                    <w:pStyle w:val="Compact"/>
                    <w:jc w:val="left"/>
                    <w:jc w:val="center"/>
                  </w:pPr>
                  <w:r>
                    <w:t xml:space="preserve">df</w:t>
                  </w:r>
                </w:p>
              </w:tc>
              <w:tc>
                <w:tcPr/>
                <w:p>
                  <w:pPr>
                    <w:pStyle w:val="Compact"/>
                    <w:jc w:val="left"/>
                    <w:jc w:val="center"/>
                  </w:pPr>
                  <w:r>
                    <w:t xml:space="preserve">gs - ld</w:t>
                  </w:r>
                </w:p>
              </w:tc>
              <w:tc>
                <w:tcPr/>
                <w:p>
                  <w:pPr>
                    <w:pStyle w:val="Compact"/>
                    <w:jc w:val="left"/>
                    <w:jc w:val="center"/>
                  </w:pPr>
                  <w:r>
                    <w:t xml:space="preserve">0.17</w:t>
                  </w:r>
                </w:p>
              </w:tc>
              <w:tc>
                <w:tcPr/>
                <w:p>
                  <w:pPr>
                    <w:pStyle w:val="Compact"/>
                    <w:jc w:val="left"/>
                    <w:jc w:val="center"/>
                  </w:pPr>
                  <w:r>
                    <w:t xml:space="preserve">0.11</w:t>
                  </w:r>
                </w:p>
              </w:tc>
              <w:tc>
                <w:tcPr/>
                <w:p>
                  <w:pPr>
                    <w:pStyle w:val="Compact"/>
                    <w:jc w:val="left"/>
                    <w:jc w:val="center"/>
                  </w:pPr>
                  <w:r>
                    <w:t xml:space="preserve">Inf</w:t>
                  </w:r>
                </w:p>
              </w:tc>
              <w:tc>
                <w:tcPr/>
                <w:p>
                  <w:pPr>
                    <w:pStyle w:val="Compact"/>
                    <w:jc w:val="left"/>
                    <w:jc w:val="center"/>
                  </w:pPr>
                  <w:r>
                    <w:t xml:space="preserve">0.46</w:t>
                  </w:r>
                </w:p>
              </w:tc>
            </w:tr>
            <w:tr>
              <w:tc>
                <w:tcPr/>
                <w:p>
                  <w:pPr>
                    <w:pStyle w:val="Compact"/>
                    <w:jc w:val="left"/>
                    <w:jc w:val="center"/>
                  </w:pPr>
                  <w:r>
                    <w:t xml:space="preserve">df</w:t>
                  </w:r>
                </w:p>
              </w:tc>
              <w:tc>
                <w:tcPr/>
                <w:p>
                  <w:pPr>
                    <w:pStyle w:val="Compact"/>
                    <w:jc w:val="left"/>
                    <w:jc w:val="center"/>
                  </w:pPr>
                  <w:r>
                    <w:t xml:space="preserve">gs - ha</w:t>
                  </w:r>
                </w:p>
              </w:tc>
              <w:tc>
                <w:tcPr/>
                <w:p>
                  <w:pPr>
                    <w:pStyle w:val="Compact"/>
                    <w:jc w:val="left"/>
                    <w:jc w:val="center"/>
                  </w:pPr>
                  <w:r>
                    <w:t xml:space="preserve">0.12</w:t>
                  </w:r>
                </w:p>
              </w:tc>
              <w:tc>
                <w:tcPr/>
                <w:p>
                  <w:pPr>
                    <w:pStyle w:val="Compact"/>
                    <w:jc w:val="left"/>
                    <w:jc w:val="center"/>
                  </w:pPr>
                  <w:r>
                    <w:t xml:space="preserve">0.12</w:t>
                  </w:r>
                </w:p>
              </w:tc>
              <w:tc>
                <w:tcPr/>
                <w:p>
                  <w:pPr>
                    <w:pStyle w:val="Compact"/>
                    <w:jc w:val="left"/>
                    <w:jc w:val="center"/>
                  </w:pPr>
                  <w:r>
                    <w:t xml:space="preserve">Inf</w:t>
                  </w:r>
                </w:p>
              </w:tc>
              <w:tc>
                <w:tcPr/>
                <w:p>
                  <w:pPr>
                    <w:pStyle w:val="Compact"/>
                    <w:jc w:val="left"/>
                    <w:jc w:val="center"/>
                  </w:pPr>
                  <w:r>
                    <w:t xml:space="preserve">0.76</w:t>
                  </w:r>
                </w:p>
              </w:tc>
            </w:tr>
            <w:tr>
              <w:tc>
                <w:tcPr/>
                <w:p>
                  <w:pPr>
                    <w:pStyle w:val="Compact"/>
                    <w:jc w:val="left"/>
                    <w:jc w:val="center"/>
                  </w:pPr>
                  <w:r>
                    <w:t xml:space="preserve">df</w:t>
                  </w:r>
                </w:p>
              </w:tc>
              <w:tc>
                <w:tcPr/>
                <w:p>
                  <w:pPr>
                    <w:pStyle w:val="Compact"/>
                    <w:jc w:val="left"/>
                    <w:jc w:val="center"/>
                  </w:pPr>
                  <w:r>
                    <w:t xml:space="preserve">gs - hd</w:t>
                  </w:r>
                </w:p>
              </w:tc>
              <w:tc>
                <w:tcPr/>
                <w:p>
                  <w:pPr>
                    <w:pStyle w:val="Compact"/>
                    <w:jc w:val="left"/>
                    <w:jc w:val="center"/>
                  </w:pPr>
                  <w:r>
                    <w:t xml:space="preserve">0.17</w:t>
                  </w:r>
                </w:p>
              </w:tc>
              <w:tc>
                <w:tcPr/>
                <w:p>
                  <w:pPr>
                    <w:pStyle w:val="Compact"/>
                    <w:jc w:val="left"/>
                    <w:jc w:val="center"/>
                  </w:pPr>
                  <w:r>
                    <w:t xml:space="preserve">0.11</w:t>
                  </w:r>
                </w:p>
              </w:tc>
              <w:tc>
                <w:tcPr/>
                <w:p>
                  <w:pPr>
                    <w:pStyle w:val="Compact"/>
                    <w:jc w:val="left"/>
                    <w:jc w:val="center"/>
                  </w:pPr>
                  <w:r>
                    <w:t xml:space="preserve">Inf</w:t>
                  </w:r>
                </w:p>
              </w:tc>
              <w:tc>
                <w:tcPr/>
                <w:p>
                  <w:pPr>
                    <w:pStyle w:val="Compact"/>
                    <w:jc w:val="left"/>
                    <w:jc w:val="center"/>
                  </w:pPr>
                  <w:r>
                    <w:t xml:space="preserve">0.42</w:t>
                  </w:r>
                </w:p>
              </w:tc>
            </w:tr>
            <w:tr>
              <w:tc>
                <w:tcPr/>
                <w:p>
                  <w:pPr>
                    <w:pStyle w:val="Compact"/>
                    <w:jc w:val="left"/>
                    <w:jc w:val="center"/>
                  </w:pPr>
                  <w:r>
                    <w:t xml:space="preserve">df</w:t>
                  </w:r>
                </w:p>
              </w:tc>
              <w:tc>
                <w:tcPr/>
                <w:p>
                  <w:pPr>
                    <w:pStyle w:val="Compact"/>
                    <w:jc w:val="left"/>
                    <w:jc w:val="center"/>
                  </w:pPr>
                  <w:r>
                    <w:t xml:space="preserve">ld - ha</w:t>
                  </w:r>
                </w:p>
              </w:tc>
              <w:tc>
                <w:tcPr/>
                <w:p>
                  <w:pPr>
                    <w:pStyle w:val="Compact"/>
                    <w:jc w:val="left"/>
                    <w:jc w:val="center"/>
                  </w:pPr>
                  <w:r>
                    <w:t xml:space="preserve">-0.05</w:t>
                  </w:r>
                </w:p>
              </w:tc>
              <w:tc>
                <w:tcPr/>
                <w:p>
                  <w:pPr>
                    <w:pStyle w:val="Compact"/>
                    <w:jc w:val="left"/>
                    <w:jc w:val="center"/>
                  </w:pPr>
                  <w:r>
                    <w:t xml:space="preserve">0.08</w:t>
                  </w:r>
                </w:p>
              </w:tc>
              <w:tc>
                <w:tcPr/>
                <w:p>
                  <w:pPr>
                    <w:pStyle w:val="Compact"/>
                    <w:jc w:val="left"/>
                    <w:jc w:val="center"/>
                  </w:pPr>
                  <w:r>
                    <w:t xml:space="preserve">Inf</w:t>
                  </w:r>
                </w:p>
              </w:tc>
              <w:tc>
                <w:tcPr/>
                <w:p>
                  <w:pPr>
                    <w:pStyle w:val="Compact"/>
                    <w:jc w:val="left"/>
                    <w:jc w:val="center"/>
                  </w:pPr>
                  <w:r>
                    <w:t xml:space="preserve">0.93</w:t>
                  </w:r>
                </w:p>
              </w:tc>
            </w:tr>
            <w:tr>
              <w:tc>
                <w:tcPr/>
                <w:p>
                  <w:pPr>
                    <w:pStyle w:val="Compact"/>
                    <w:jc w:val="left"/>
                    <w:jc w:val="center"/>
                  </w:pPr>
                  <w:r>
                    <w:t xml:space="preserve">df</w:t>
                  </w:r>
                </w:p>
              </w:tc>
              <w:tc>
                <w:tcPr/>
                <w:p>
                  <w:pPr>
                    <w:pStyle w:val="Compact"/>
                    <w:jc w:val="left"/>
                    <w:jc w:val="center"/>
                  </w:pPr>
                  <w:r>
                    <w:t xml:space="preserve">ld - hd</w:t>
                  </w:r>
                </w:p>
              </w:tc>
              <w:tc>
                <w:tcPr/>
                <w:p>
                  <w:pPr>
                    <w:pStyle w:val="Compact"/>
                    <w:jc w:val="left"/>
                    <w:jc w:val="center"/>
                  </w:pPr>
                  <w:r>
                    <w:t xml:space="preserve">0</w:t>
                  </w:r>
                </w:p>
              </w:tc>
              <w:tc>
                <w:tcPr/>
                <w:p>
                  <w:pPr>
                    <w:pStyle w:val="Compact"/>
                    <w:jc w:val="left"/>
                    <w:jc w:val="center"/>
                  </w:pPr>
                  <w:r>
                    <w:t xml:space="preserve">0.05</w:t>
                  </w:r>
                </w:p>
              </w:tc>
              <w:tc>
                <w:tcPr/>
                <w:p>
                  <w:pPr>
                    <w:pStyle w:val="Compact"/>
                    <w:jc w:val="left"/>
                    <w:jc w:val="center"/>
                  </w:pPr>
                  <w:r>
                    <w:t xml:space="preserve">Inf</w:t>
                  </w:r>
                </w:p>
              </w:tc>
              <w:tc>
                <w:tcPr/>
                <w:p>
                  <w:pPr>
                    <w:pStyle w:val="Compact"/>
                    <w:jc w:val="left"/>
                    <w:jc w:val="center"/>
                  </w:pPr>
                  <w:r>
                    <w:t xml:space="preserve">1</w:t>
                  </w:r>
                </w:p>
              </w:tc>
            </w:tr>
            <w:tr>
              <w:tc>
                <w:tcPr/>
                <w:p>
                  <w:pPr>
                    <w:pStyle w:val="Compact"/>
                    <w:jc w:val="left"/>
                    <w:jc w:val="center"/>
                  </w:pPr>
                  <w:r>
                    <w:t xml:space="preserve">df</w:t>
                  </w:r>
                </w:p>
              </w:tc>
              <w:tc>
                <w:tcPr/>
                <w:p>
                  <w:pPr>
                    <w:pStyle w:val="Compact"/>
                    <w:jc w:val="left"/>
                    <w:jc w:val="center"/>
                  </w:pPr>
                  <w:r>
                    <w:t xml:space="preserve">ha - hd</w:t>
                  </w:r>
                </w:p>
              </w:tc>
              <w:tc>
                <w:tcPr/>
                <w:p>
                  <w:pPr>
                    <w:pStyle w:val="Compact"/>
                    <w:jc w:val="left"/>
                    <w:jc w:val="center"/>
                  </w:pPr>
                  <w:r>
                    <w:t xml:space="preserve">0.05</w:t>
                  </w:r>
                </w:p>
              </w:tc>
              <w:tc>
                <w:tcPr/>
                <w:p>
                  <w:pPr>
                    <w:pStyle w:val="Compact"/>
                    <w:jc w:val="left"/>
                    <w:jc w:val="center"/>
                  </w:pPr>
                  <w:r>
                    <w:t xml:space="preserve">0.07</w:t>
                  </w:r>
                </w:p>
              </w:tc>
              <w:tc>
                <w:tcPr/>
                <w:p>
                  <w:pPr>
                    <w:pStyle w:val="Compact"/>
                    <w:jc w:val="left"/>
                    <w:jc w:val="center"/>
                  </w:pPr>
                  <w:r>
                    <w:t xml:space="preserve">Inf</w:t>
                  </w:r>
                </w:p>
              </w:tc>
              <w:tc>
                <w:tcPr/>
                <w:p>
                  <w:pPr>
                    <w:pStyle w:val="Compact"/>
                    <w:jc w:val="left"/>
                    <w:jc w:val="center"/>
                  </w:pPr>
                  <w:r>
                    <w:t xml:space="preserve">0.91</w:t>
                  </w:r>
                </w:p>
              </w:tc>
            </w:tr>
            <w:tr>
              <w:tc>
                <w:tcPr/>
                <w:p>
                  <w:pPr>
                    <w:pStyle w:val="Compact"/>
                    <w:jc w:val="left"/>
                    <w:jc w:val="center"/>
                  </w:pPr>
                  <w:r>
                    <w:t xml:space="preserve">rw</w:t>
                  </w:r>
                </w:p>
              </w:tc>
              <w:tc>
                <w:tcPr/>
                <w:p>
                  <w:pPr>
                    <w:pStyle w:val="Compact"/>
                    <w:jc w:val="left"/>
                    <w:jc w:val="center"/>
                  </w:pPr>
                  <w:r>
                    <w:t xml:space="preserve">gs - ld</w:t>
                  </w:r>
                </w:p>
              </w:tc>
              <w:tc>
                <w:tcPr/>
                <w:p>
                  <w:pPr>
                    <w:pStyle w:val="Compact"/>
                    <w:jc w:val="left"/>
                    <w:jc w:val="center"/>
                  </w:pPr>
                  <w:r>
                    <w:t xml:space="preserve">6.49</w:t>
                  </w:r>
                </w:p>
              </w:tc>
              <w:tc>
                <w:tcPr/>
                <w:p>
                  <w:pPr>
                    <w:pStyle w:val="Compact"/>
                    <w:jc w:val="left"/>
                    <w:jc w:val="center"/>
                  </w:pPr>
                  <w:r>
                    <w:t xml:space="preserve">4.6</w:t>
                  </w:r>
                </w:p>
              </w:tc>
              <w:tc>
                <w:tcPr/>
                <w:p>
                  <w:pPr>
                    <w:pStyle w:val="Compact"/>
                    <w:jc w:val="left"/>
                    <w:jc w:val="center"/>
                  </w:pPr>
                  <w:r>
                    <w:t xml:space="preserve">Inf</w:t>
                  </w:r>
                </w:p>
              </w:tc>
              <w:tc>
                <w:tcPr/>
                <w:p>
                  <w:pPr>
                    <w:pStyle w:val="Compact"/>
                    <w:jc w:val="left"/>
                    <w:jc w:val="center"/>
                  </w:pPr>
                  <w:r>
                    <w:t xml:space="preserve">0.49</w:t>
                  </w:r>
                </w:p>
              </w:tc>
            </w:tr>
            <w:tr>
              <w:tc>
                <w:tcPr/>
                <w:p>
                  <w:pPr>
                    <w:pStyle w:val="Compact"/>
                    <w:jc w:val="left"/>
                    <w:jc w:val="center"/>
                  </w:pPr>
                  <w:r>
                    <w:t xml:space="preserve">rw</w:t>
                  </w:r>
                </w:p>
              </w:tc>
              <w:tc>
                <w:tcPr/>
                <w:p>
                  <w:pPr>
                    <w:pStyle w:val="Compact"/>
                    <w:jc w:val="left"/>
                    <w:jc w:val="center"/>
                  </w:pPr>
                  <w:r>
                    <w:t xml:space="preserve">gs - ha</w:t>
                  </w:r>
                </w:p>
              </w:tc>
              <w:tc>
                <w:tcPr/>
                <w:p>
                  <w:pPr>
                    <w:pStyle w:val="Compact"/>
                    <w:jc w:val="left"/>
                    <w:jc w:val="center"/>
                  </w:pPr>
                  <w:r>
                    <w:t xml:space="preserve">8.61</w:t>
                  </w:r>
                </w:p>
              </w:tc>
              <w:tc>
                <w:tcPr/>
                <w:p>
                  <w:pPr>
                    <w:pStyle w:val="Compact"/>
                    <w:jc w:val="left"/>
                    <w:jc w:val="center"/>
                  </w:pPr>
                  <w:r>
                    <w:t xml:space="preserve">4.56</w:t>
                  </w:r>
                </w:p>
              </w:tc>
              <w:tc>
                <w:tcPr/>
                <w:p>
                  <w:pPr>
                    <w:pStyle w:val="Compact"/>
                    <w:jc w:val="left"/>
                    <w:jc w:val="center"/>
                  </w:pPr>
                  <w:r>
                    <w:t xml:space="preserve">Inf</w:t>
                  </w:r>
                </w:p>
              </w:tc>
              <w:tc>
                <w:tcPr/>
                <w:p>
                  <w:pPr>
                    <w:pStyle w:val="Compact"/>
                    <w:jc w:val="left"/>
                    <w:jc w:val="center"/>
                  </w:pPr>
                  <w:r>
                    <w:t xml:space="preserve">0.23</w:t>
                  </w:r>
                </w:p>
              </w:tc>
            </w:tr>
            <w:tr>
              <w:tc>
                <w:tcPr/>
                <w:p>
                  <w:pPr>
                    <w:pStyle w:val="Compact"/>
                    <w:jc w:val="left"/>
                    <w:jc w:val="center"/>
                  </w:pPr>
                  <w:r>
                    <w:t xml:space="preserve">rw</w:t>
                  </w:r>
                </w:p>
              </w:tc>
              <w:tc>
                <w:tcPr/>
                <w:p>
                  <w:pPr>
                    <w:pStyle w:val="Compact"/>
                    <w:jc w:val="left"/>
                    <w:jc w:val="center"/>
                  </w:pPr>
                  <w:r>
                    <w:t xml:space="preserve">gs - hd</w:t>
                  </w:r>
                </w:p>
              </w:tc>
              <w:tc>
                <w:tcPr/>
                <w:p>
                  <w:pPr>
                    <w:pStyle w:val="Compact"/>
                    <w:jc w:val="left"/>
                    <w:jc w:val="center"/>
                  </w:pPr>
                  <w:r>
                    <w:t xml:space="preserve">9.28</w:t>
                  </w:r>
                </w:p>
              </w:tc>
              <w:tc>
                <w:tcPr/>
                <w:p>
                  <w:pPr>
                    <w:pStyle w:val="Compact"/>
                    <w:jc w:val="left"/>
                    <w:jc w:val="center"/>
                  </w:pPr>
                  <w:r>
                    <w:t xml:space="preserve">4.64</w:t>
                  </w:r>
                </w:p>
              </w:tc>
              <w:tc>
                <w:tcPr/>
                <w:p>
                  <w:pPr>
                    <w:pStyle w:val="Compact"/>
                    <w:jc w:val="left"/>
                    <w:jc w:val="center"/>
                  </w:pPr>
                  <w:r>
                    <w:t xml:space="preserve">Inf</w:t>
                  </w:r>
                </w:p>
              </w:tc>
              <w:tc>
                <w:tcPr/>
                <w:p>
                  <w:pPr>
                    <w:pStyle w:val="Compact"/>
                    <w:jc w:val="left"/>
                    <w:jc w:val="center"/>
                  </w:pPr>
                  <w:r>
                    <w:t xml:space="preserve">0.19</w:t>
                  </w:r>
                </w:p>
              </w:tc>
            </w:tr>
            <w:tr>
              <w:tc>
                <w:tcPr/>
                <w:p>
                  <w:pPr>
                    <w:pStyle w:val="Compact"/>
                    <w:jc w:val="left"/>
                    <w:jc w:val="center"/>
                  </w:pPr>
                  <w:r>
                    <w:t xml:space="preserve">rw</w:t>
                  </w:r>
                </w:p>
              </w:tc>
              <w:tc>
                <w:tcPr/>
                <w:p>
                  <w:pPr>
                    <w:pStyle w:val="Compact"/>
                    <w:jc w:val="left"/>
                    <w:jc w:val="center"/>
                  </w:pPr>
                  <w:r>
                    <w:t xml:space="preserve">ld - ha</w:t>
                  </w:r>
                </w:p>
              </w:tc>
              <w:tc>
                <w:tcPr/>
                <w:p>
                  <w:pPr>
                    <w:pStyle w:val="Compact"/>
                    <w:jc w:val="left"/>
                    <w:jc w:val="center"/>
                  </w:pPr>
                  <w:r>
                    <w:t xml:space="preserve">2.12</w:t>
                  </w:r>
                </w:p>
              </w:tc>
              <w:tc>
                <w:tcPr/>
                <w:p>
                  <w:pPr>
                    <w:pStyle w:val="Compact"/>
                    <w:jc w:val="left"/>
                    <w:jc w:val="center"/>
                  </w:pPr>
                  <w:r>
                    <w:t xml:space="preserve">1.8</w:t>
                  </w:r>
                </w:p>
              </w:tc>
              <w:tc>
                <w:tcPr/>
                <w:p>
                  <w:pPr>
                    <w:pStyle w:val="Compact"/>
                    <w:jc w:val="left"/>
                    <w:jc w:val="center"/>
                  </w:pPr>
                  <w:r>
                    <w:t xml:space="preserve">Inf</w:t>
                  </w:r>
                </w:p>
              </w:tc>
              <w:tc>
                <w:tcPr/>
                <w:p>
                  <w:pPr>
                    <w:pStyle w:val="Compact"/>
                    <w:jc w:val="left"/>
                    <w:jc w:val="center"/>
                  </w:pPr>
                  <w:r>
                    <w:t xml:space="preserve">0.64</w:t>
                  </w:r>
                </w:p>
              </w:tc>
            </w:tr>
            <w:tr>
              <w:tc>
                <w:tcPr/>
                <w:p>
                  <w:pPr>
                    <w:pStyle w:val="Compact"/>
                    <w:jc w:val="left"/>
                    <w:jc w:val="center"/>
                  </w:pPr>
                  <w:r>
                    <w:t xml:space="preserve">rw</w:t>
                  </w:r>
                </w:p>
              </w:tc>
              <w:tc>
                <w:tcPr/>
                <w:p>
                  <w:pPr>
                    <w:pStyle w:val="Compact"/>
                    <w:jc w:val="left"/>
                    <w:jc w:val="center"/>
                  </w:pPr>
                  <w:r>
                    <w:t xml:space="preserve">ld - hd</w:t>
                  </w:r>
                </w:p>
              </w:tc>
              <w:tc>
                <w:tcPr/>
                <w:p>
                  <w:pPr>
                    <w:pStyle w:val="Compact"/>
                    <w:jc w:val="left"/>
                    <w:jc w:val="center"/>
                  </w:pPr>
                  <w:r>
                    <w:t xml:space="preserve">2.79</w:t>
                  </w:r>
                </w:p>
              </w:tc>
              <w:tc>
                <w:tcPr/>
                <w:p>
                  <w:pPr>
                    <w:pStyle w:val="Compact"/>
                    <w:jc w:val="left"/>
                    <w:jc w:val="center"/>
                  </w:pPr>
                  <w:r>
                    <w:t xml:space="preserve">1.83</w:t>
                  </w:r>
                </w:p>
              </w:tc>
              <w:tc>
                <w:tcPr/>
                <w:p>
                  <w:pPr>
                    <w:pStyle w:val="Compact"/>
                    <w:jc w:val="left"/>
                    <w:jc w:val="center"/>
                  </w:pPr>
                  <w:r>
                    <w:t xml:space="preserve">Inf</w:t>
                  </w:r>
                </w:p>
              </w:tc>
              <w:tc>
                <w:tcPr/>
                <w:p>
                  <w:pPr>
                    <w:pStyle w:val="Compact"/>
                    <w:jc w:val="left"/>
                    <w:jc w:val="center"/>
                  </w:pPr>
                  <w:r>
                    <w:t xml:space="preserve">0.42</w:t>
                  </w:r>
                </w:p>
              </w:tc>
            </w:tr>
            <w:tr>
              <w:tc>
                <w:tcPr/>
                <w:p>
                  <w:pPr>
                    <w:pStyle w:val="Compact"/>
                    <w:jc w:val="left"/>
                    <w:jc w:val="center"/>
                  </w:pPr>
                  <w:r>
                    <w:t xml:space="preserve">rw</w:t>
                  </w:r>
                </w:p>
              </w:tc>
              <w:tc>
                <w:tcPr/>
                <w:p>
                  <w:pPr>
                    <w:pStyle w:val="Compact"/>
                    <w:jc w:val="left"/>
                    <w:jc w:val="center"/>
                  </w:pPr>
                  <w:r>
                    <w:t xml:space="preserve">ha - hd</w:t>
                  </w:r>
                </w:p>
              </w:tc>
              <w:tc>
                <w:tcPr/>
                <w:p>
                  <w:pPr>
                    <w:pStyle w:val="Compact"/>
                    <w:jc w:val="left"/>
                    <w:jc w:val="center"/>
                  </w:pPr>
                  <w:r>
                    <w:t xml:space="preserve">0.67</w:t>
                  </w:r>
                </w:p>
              </w:tc>
              <w:tc>
                <w:tcPr/>
                <w:p>
                  <w:pPr>
                    <w:pStyle w:val="Compact"/>
                    <w:jc w:val="left"/>
                    <w:jc w:val="center"/>
                  </w:pPr>
                  <w:r>
                    <w:t xml:space="preserve">0.79</w:t>
                  </w:r>
                </w:p>
              </w:tc>
              <w:tc>
                <w:tcPr/>
                <w:p>
                  <w:pPr>
                    <w:pStyle w:val="Compact"/>
                    <w:jc w:val="left"/>
                    <w:jc w:val="center"/>
                  </w:pPr>
                  <w:r>
                    <w:t xml:space="preserve">Inf</w:t>
                  </w:r>
                </w:p>
              </w:tc>
              <w:tc>
                <w:tcPr/>
                <w:p>
                  <w:pPr>
                    <w:pStyle w:val="Compact"/>
                    <w:jc w:val="left"/>
                    <w:jc w:val="center"/>
                  </w:pPr>
                  <w:r>
                    <w:t xml:space="preserve">0.83</w:t>
                  </w:r>
                </w:p>
              </w:tc>
            </w:tr>
            <w:tr>
              <w:tc>
                <w:tcPr/>
                <w:p>
                  <w:pPr>
                    <w:pStyle w:val="Compact"/>
                    <w:jc w:val="left"/>
                    <w:jc w:val="center"/>
                  </w:pPr>
                  <w:r>
                    <w:t xml:space="preserve">to</w:t>
                  </w:r>
                </w:p>
              </w:tc>
              <w:tc>
                <w:tcPr/>
                <w:p>
                  <w:pPr>
                    <w:pStyle w:val="Compact"/>
                    <w:jc w:val="left"/>
                    <w:jc w:val="center"/>
                  </w:pPr>
                  <w:r>
                    <w:t xml:space="preserve">gs - ld</w:t>
                  </w:r>
                </w:p>
              </w:tc>
              <w:tc>
                <w:tcPr/>
                <w:p>
                  <w:pPr>
                    <w:pStyle w:val="Compact"/>
                    <w:jc w:val="left"/>
                    <w:jc w:val="center"/>
                  </w:pPr>
                  <w:r>
                    <w:t xml:space="preserve">0.31</w:t>
                  </w:r>
                </w:p>
              </w:tc>
              <w:tc>
                <w:tcPr/>
                <w:p>
                  <w:pPr>
                    <w:pStyle w:val="Compact"/>
                    <w:jc w:val="left"/>
                    <w:jc w:val="center"/>
                  </w:pPr>
                  <w:r>
                    <w:t xml:space="preserve">0.69</w:t>
                  </w:r>
                </w:p>
              </w:tc>
              <w:tc>
                <w:tcPr/>
                <w:p>
                  <w:pPr>
                    <w:pStyle w:val="Compact"/>
                    <w:jc w:val="left"/>
                    <w:jc w:val="center"/>
                  </w:pPr>
                  <w:r>
                    <w:t xml:space="preserve">Inf</w:t>
                  </w:r>
                </w:p>
              </w:tc>
              <w:tc>
                <w:tcPr/>
                <w:p>
                  <w:pPr>
                    <w:pStyle w:val="Compact"/>
                    <w:jc w:val="left"/>
                    <w:jc w:val="center"/>
                  </w:pPr>
                  <w:r>
                    <w:t xml:space="preserve">0.97</w:t>
                  </w:r>
                </w:p>
              </w:tc>
            </w:tr>
            <w:tr>
              <w:tc>
                <w:tcPr/>
                <w:p>
                  <w:pPr>
                    <w:pStyle w:val="Compact"/>
                    <w:jc w:val="left"/>
                    <w:jc w:val="center"/>
                  </w:pPr>
                  <w:r>
                    <w:t xml:space="preserve">to</w:t>
                  </w:r>
                </w:p>
              </w:tc>
              <w:tc>
                <w:tcPr/>
                <w:p>
                  <w:pPr>
                    <w:pStyle w:val="Compact"/>
                    <w:jc w:val="left"/>
                    <w:jc w:val="center"/>
                  </w:pPr>
                  <w:r>
                    <w:t xml:space="preserve">gs - ha</w:t>
                  </w:r>
                </w:p>
              </w:tc>
              <w:tc>
                <w:tcPr/>
                <w:p>
                  <w:pPr>
                    <w:pStyle w:val="Compact"/>
                    <w:jc w:val="left"/>
                    <w:jc w:val="center"/>
                  </w:pPr>
                  <w:r>
                    <w:t xml:space="preserve">1.33</w:t>
                  </w:r>
                </w:p>
              </w:tc>
              <w:tc>
                <w:tcPr/>
                <w:p>
                  <w:pPr>
                    <w:pStyle w:val="Compact"/>
                    <w:jc w:val="left"/>
                    <w:jc w:val="center"/>
                  </w:pPr>
                  <w:r>
                    <w:t xml:space="preserve">0.65</w:t>
                  </w:r>
                </w:p>
              </w:tc>
              <w:tc>
                <w:tcPr/>
                <w:p>
                  <w:pPr>
                    <w:pStyle w:val="Compact"/>
                    <w:jc w:val="left"/>
                    <w:jc w:val="center"/>
                  </w:pPr>
                  <w:r>
                    <w:t xml:space="preserve">Inf</w:t>
                  </w:r>
                </w:p>
              </w:tc>
              <w:tc>
                <w:tcPr/>
                <w:p>
                  <w:pPr>
                    <w:pStyle w:val="Compact"/>
                    <w:jc w:val="left"/>
                    <w:jc w:val="center"/>
                  </w:pPr>
                  <w:r>
                    <w:t xml:space="preserve">0.18</w:t>
                  </w:r>
                </w:p>
              </w:tc>
            </w:tr>
            <w:tr>
              <w:tc>
                <w:tcPr/>
                <w:p>
                  <w:pPr>
                    <w:pStyle w:val="Compact"/>
                    <w:jc w:val="left"/>
                    <w:jc w:val="center"/>
                  </w:pPr>
                  <w:r>
                    <w:t xml:space="preserve">to</w:t>
                  </w:r>
                </w:p>
              </w:tc>
              <w:tc>
                <w:tcPr/>
                <w:p>
                  <w:pPr>
                    <w:pStyle w:val="Compact"/>
                    <w:jc w:val="left"/>
                    <w:jc w:val="center"/>
                  </w:pPr>
                  <w:r>
                    <w:t xml:space="preserve">gs - hd</w:t>
                  </w:r>
                </w:p>
              </w:tc>
              <w:tc>
                <w:tcPr/>
                <w:p>
                  <w:pPr>
                    <w:pStyle w:val="Compact"/>
                    <w:jc w:val="left"/>
                    <w:jc w:val="center"/>
                  </w:pPr>
                  <w:r>
                    <w:t xml:space="preserve">0.99</w:t>
                  </w:r>
                </w:p>
              </w:tc>
              <w:tc>
                <w:tcPr/>
                <w:p>
                  <w:pPr>
                    <w:pStyle w:val="Compact"/>
                    <w:jc w:val="left"/>
                    <w:jc w:val="center"/>
                  </w:pPr>
                  <w:r>
                    <w:t xml:space="preserve">0.64</w:t>
                  </w:r>
                </w:p>
              </w:tc>
              <w:tc>
                <w:tcPr/>
                <w:p>
                  <w:pPr>
                    <w:pStyle w:val="Compact"/>
                    <w:jc w:val="left"/>
                    <w:jc w:val="center"/>
                  </w:pPr>
                  <w:r>
                    <w:t xml:space="preserve">Inf</w:t>
                  </w:r>
                </w:p>
              </w:tc>
              <w:tc>
                <w:tcPr/>
                <w:p>
                  <w:pPr>
                    <w:pStyle w:val="Compact"/>
                    <w:jc w:val="left"/>
                    <w:jc w:val="center"/>
                  </w:pPr>
                  <w:r>
                    <w:t xml:space="preserve">0.4</w:t>
                  </w:r>
                </w:p>
              </w:tc>
            </w:tr>
            <w:tr>
              <w:tc>
                <w:tcPr/>
                <w:p>
                  <w:pPr>
                    <w:pStyle w:val="Compact"/>
                    <w:jc w:val="left"/>
                    <w:jc w:val="center"/>
                  </w:pPr>
                  <w:r>
                    <w:t xml:space="preserve">to</w:t>
                  </w:r>
                </w:p>
              </w:tc>
              <w:tc>
                <w:tcPr/>
                <w:p>
                  <w:pPr>
                    <w:pStyle w:val="Compact"/>
                    <w:jc w:val="left"/>
                    <w:jc w:val="center"/>
                  </w:pPr>
                  <w:r>
                    <w:t xml:space="preserve">ld - ha</w:t>
                  </w:r>
                </w:p>
              </w:tc>
              <w:tc>
                <w:tcPr/>
                <w:p>
                  <w:pPr>
                    <w:pStyle w:val="Compact"/>
                    <w:jc w:val="left"/>
                    <w:jc w:val="center"/>
                  </w:pPr>
                  <w:r>
                    <w:t xml:space="preserve">1.02</w:t>
                  </w:r>
                </w:p>
              </w:tc>
              <w:tc>
                <w:tcPr/>
                <w:p>
                  <w:pPr>
                    <w:pStyle w:val="Compact"/>
                    <w:jc w:val="left"/>
                    <w:jc w:val="center"/>
                  </w:pPr>
                  <w:r>
                    <w:t xml:space="preserve">0.58</w:t>
                  </w:r>
                </w:p>
              </w:tc>
              <w:tc>
                <w:tcPr/>
                <w:p>
                  <w:pPr>
                    <w:pStyle w:val="Compact"/>
                    <w:jc w:val="left"/>
                    <w:jc w:val="center"/>
                  </w:pPr>
                  <w:r>
                    <w:t xml:space="preserve">Inf</w:t>
                  </w:r>
                </w:p>
              </w:tc>
              <w:tc>
                <w:tcPr/>
                <w:p>
                  <w:pPr>
                    <w:pStyle w:val="Compact"/>
                    <w:jc w:val="left"/>
                    <w:jc w:val="center"/>
                  </w:pPr>
                  <w:r>
                    <w:t xml:space="preserve">0.29</w:t>
                  </w:r>
                </w:p>
              </w:tc>
            </w:tr>
            <w:tr>
              <w:tc>
                <w:tcPr/>
                <w:p>
                  <w:pPr>
                    <w:pStyle w:val="Compact"/>
                    <w:jc w:val="left"/>
                    <w:jc w:val="center"/>
                  </w:pPr>
                  <w:r>
                    <w:t xml:space="preserve">to</w:t>
                  </w:r>
                </w:p>
              </w:tc>
              <w:tc>
                <w:tcPr/>
                <w:p>
                  <w:pPr>
                    <w:pStyle w:val="Compact"/>
                    <w:jc w:val="left"/>
                    <w:jc w:val="center"/>
                  </w:pPr>
                  <w:r>
                    <w:t xml:space="preserve">ld - hd</w:t>
                  </w:r>
                </w:p>
              </w:tc>
              <w:tc>
                <w:tcPr/>
                <w:p>
                  <w:pPr>
                    <w:pStyle w:val="Compact"/>
                    <w:jc w:val="left"/>
                    <w:jc w:val="center"/>
                  </w:pPr>
                  <w:r>
                    <w:t xml:space="preserve">0.69</w:t>
                  </w:r>
                </w:p>
              </w:tc>
              <w:tc>
                <w:tcPr/>
                <w:p>
                  <w:pPr>
                    <w:pStyle w:val="Compact"/>
                    <w:jc w:val="left"/>
                    <w:jc w:val="center"/>
                  </w:pPr>
                  <w:r>
                    <w:t xml:space="preserve">0.57</w:t>
                  </w:r>
                </w:p>
              </w:tc>
              <w:tc>
                <w:tcPr/>
                <w:p>
                  <w:pPr>
                    <w:pStyle w:val="Compact"/>
                    <w:jc w:val="left"/>
                    <w:jc w:val="center"/>
                  </w:pPr>
                  <w:r>
                    <w:t xml:space="preserve">Inf</w:t>
                  </w:r>
                </w:p>
              </w:tc>
              <w:tc>
                <w:tcPr/>
                <w:p>
                  <w:pPr>
                    <w:pStyle w:val="Compact"/>
                    <w:jc w:val="left"/>
                    <w:jc w:val="center"/>
                  </w:pPr>
                  <w:r>
                    <w:t xml:space="preserve">0.63</w:t>
                  </w:r>
                </w:p>
              </w:tc>
            </w:tr>
            <w:tr>
              <w:tc>
                <w:tcPr/>
                <w:p>
                  <w:pPr>
                    <w:pStyle w:val="Compact"/>
                    <w:jc w:val="left"/>
                    <w:jc w:val="center"/>
                  </w:pPr>
                  <w:r>
                    <w:t xml:space="preserve">to</w:t>
                  </w:r>
                </w:p>
              </w:tc>
              <w:tc>
                <w:tcPr/>
                <w:p>
                  <w:pPr>
                    <w:pStyle w:val="Compact"/>
                    <w:jc w:val="left"/>
                    <w:jc w:val="center"/>
                  </w:pPr>
                  <w:r>
                    <w:t xml:space="preserve">ha - hd</w:t>
                  </w:r>
                </w:p>
              </w:tc>
              <w:tc>
                <w:tcPr/>
                <w:p>
                  <w:pPr>
                    <w:pStyle w:val="Compact"/>
                    <w:jc w:val="left"/>
                    <w:jc w:val="center"/>
                  </w:pPr>
                  <w:r>
                    <w:t xml:space="preserve">-0.33</w:t>
                  </w:r>
                </w:p>
              </w:tc>
              <w:tc>
                <w:tcPr/>
                <w:p>
                  <w:pPr>
                    <w:pStyle w:val="Compact"/>
                    <w:jc w:val="left"/>
                    <w:jc w:val="center"/>
                  </w:pPr>
                  <w:r>
                    <w:t xml:space="preserve">0.37</w:t>
                  </w:r>
                </w:p>
              </w:tc>
              <w:tc>
                <w:tcPr/>
                <w:p>
                  <w:pPr>
                    <w:pStyle w:val="Compact"/>
                    <w:jc w:val="left"/>
                    <w:jc w:val="center"/>
                  </w:pPr>
                  <w:r>
                    <w:t xml:space="preserve">Inf</w:t>
                  </w:r>
                </w:p>
              </w:tc>
              <w:tc>
                <w:tcPr/>
                <w:p>
                  <w:pPr>
                    <w:pStyle w:val="Compact"/>
                    <w:jc w:val="left"/>
                    <w:jc w:val="center"/>
                  </w:pPr>
                  <w:r>
                    <w:t xml:space="preserve">0.8</w:t>
                  </w:r>
                </w:p>
              </w:tc>
            </w:tr>
          </w:tbl>
          <w:bookmarkEnd w:id="60"/>
          <w:p/>
        </w:tc>
      </w:tr>
    </w:tbl>
    <w:p>
      <w:pPr>
        <w:pStyle w:val="SourceCode"/>
      </w:pPr>
      <w:r>
        <w:rPr>
          <w:rStyle w:val="VerbatimChar"/>
        </w:rPr>
        <w:t xml:space="preserve">Adding missing grouping variables: `treat`</w:t>
      </w:r>
      <w:r>
        <w:br/>
      </w:r>
      <w:r>
        <w:rPr>
          <w:rStyle w:val="VerbatimChar"/>
        </w:rPr>
        <w:t xml:space="preserve">Adding missing grouping variables: `treat`</w:t>
      </w:r>
    </w:p>
    <w:p>
      <w:pPr>
        <w:pStyle w:val="FirstParagraph"/>
      </w:pPr>
      <w:hyperlink w:anchor="fig-regen-ba-rw-to">
        <w:r>
          <w:rPr>
            <w:rStyle w:val="Hyperlink"/>
          </w:rPr>
          <w:t xml:space="preserve">Figure 3.2</w:t>
        </w:r>
      </w:hyperlink>
      <w:r>
        <w:t xml:space="preserve"> </w:t>
      </w:r>
      <w:r>
        <w:t xml:space="preserve">shows the same model as</w:t>
      </w:r>
      <w:r>
        <w:t xml:space="preserve"> </w:t>
      </w:r>
      <w:hyperlink w:anchor="fig-regen-ba">
        <w:r>
          <w:rPr>
            <w:rStyle w:val="Hyperlink"/>
          </w:rPr>
          <w:t xml:space="preserve">Figure 3.1</w:t>
        </w:r>
      </w:hyperlink>
      <w:r>
        <w:t xml:space="preserve">, but with an emphasis</w:t>
      </w:r>
      <w:r>
        <w:t xml:space="preserve"> </w:t>
      </w:r>
      <w:r>
        <w:t xml:space="preserve">on treatment comparisons between redwood and tanoak.</w:t>
      </w:r>
      <w:r>
        <w:t xml:space="preserve"> </w:t>
      </w:r>
      <w:r>
        <w:t xml:space="preserve">This shows that we expect on average,</w:t>
      </w:r>
      <w:r>
        <w:t xml:space="preserve"> </w:t>
      </w:r>
      <w:r>
        <w:t xml:space="preserve">7.88 m</w:t>
      </w:r>
      <w:r>
        <w:rPr>
          <w:vertAlign w:val="superscript"/>
        </w:rPr>
        <w:t xml:space="preserve">2</w:t>
      </w:r>
      <w:r>
        <w:t xml:space="preserve"> </w:t>
      </w:r>
      <w:r>
        <w:t xml:space="preserve">ha</w:t>
      </w:r>
      <w:r>
        <w:rPr>
          <w:vertAlign w:val="superscript"/>
        </w:rPr>
        <w:t xml:space="preserve">-1</w:t>
      </w:r>
      <w:r>
        <w:t xml:space="preserve"> </w:t>
      </w:r>
      <w:r>
        <w:t xml:space="preserve">greater redwood basal area</w:t>
      </w:r>
      <w:r>
        <w:t xml:space="preserve"> </w:t>
      </w:r>
      <w:r>
        <w:t xml:space="preserve">than tanoak basal area in the GS treatment (p = 0.1),</w:t>
      </w:r>
      <w:r>
        <w:t xml:space="preserve"> </w:t>
      </w:r>
      <w:r>
        <w:t xml:space="preserve">about 1.69 m</w:t>
      </w:r>
      <w:r>
        <w:rPr>
          <w:vertAlign w:val="superscript"/>
        </w:rPr>
        <w:t xml:space="preserve">2</w:t>
      </w:r>
      <w:r>
        <w:t xml:space="preserve"> </w:t>
      </w:r>
      <w:r>
        <w:t xml:space="preserve">ha</w:t>
      </w:r>
      <w:r>
        <w:rPr>
          <w:vertAlign w:val="superscript"/>
        </w:rPr>
        <w:t xml:space="preserve">-1</w:t>
      </w:r>
      <w:r>
        <w:t xml:space="preserve"> </w:t>
      </w:r>
      <w:r>
        <w:t xml:space="preserve">in the LD treatment (p = 0.4), and about</w:t>
      </w:r>
      <w:r>
        <w:t xml:space="preserve"> </w:t>
      </w:r>
      <w:r>
        <w:t xml:space="preserve">0.6 m</w:t>
      </w:r>
      <w:r>
        <w:rPr>
          <w:vertAlign w:val="superscript"/>
        </w:rPr>
        <w:t xml:space="preserve">2</w:t>
      </w:r>
      <w:r>
        <w:t xml:space="preserve"> </w:t>
      </w:r>
      <w:r>
        <w:t xml:space="preserve">ha</w:t>
      </w:r>
      <w:r>
        <w:rPr>
          <w:vertAlign w:val="superscript"/>
        </w:rPr>
        <w:t xml:space="preserve">-1</w:t>
      </w:r>
      <w:r>
        <w:t xml:space="preserve"> </w:t>
      </w:r>
      <w:r>
        <w:t xml:space="preserve">in the HA treatment</w:t>
      </w:r>
      <w:r>
        <w:t xml:space="preserve"> </w:t>
      </w:r>
      <w:r>
        <w:t xml:space="preserve">(p = 0.48). In the HD treatment, we expect to see slightly</w:t>
      </w:r>
      <w:r>
        <w:t xml:space="preserve"> </w:t>
      </w:r>
      <w:r>
        <w:t xml:space="preserve">higher tanoak basal area (0.55).</w:t>
      </w:r>
    </w:p>
    <w:p>
      <w:pPr>
        <w:pStyle w:val="BodyText"/>
      </w:pPr>
      <w:r>
        <w:t xml:space="preserve">Uncertainty in average Redwood basal area across sites, indicated by the size of 95% confidence intervals, is much</w:t>
      </w:r>
      <w:r>
        <w:t xml:space="preserve"> </w:t>
      </w:r>
      <w:r>
        <w:t xml:space="preserve">greater than that of tanoak in the GS treatment, but this difference</w:t>
      </w:r>
      <w:r>
        <w:t xml:space="preserve"> </w:t>
      </w:r>
      <w:r>
        <w:t xml:space="preserve">diminishes such that GS &gt; LD &gt; HA &gt; HD. In the HD treatment redwood and tanoak</w:t>
      </w:r>
      <w:r>
        <w:t xml:space="preserve"> </w:t>
      </w:r>
      <w:r>
        <w:t xml:space="preserve">average basal area uncertainty across sites is very similar.</w:t>
      </w:r>
      <w:r>
        <w:t xml:space="preserve"> </w:t>
      </w:r>
      <w:r>
        <w:t xml:space="preserve">(</w:t>
      </w:r>
      <w:hyperlink w:anchor="fig-regen-ba">
        <w:r>
          <w:rPr>
            <w:rStyle w:val="Hyperlink"/>
          </w:rPr>
          <w:t xml:space="preserve">Figure 3.1</w:t>
        </w:r>
      </w:hyperlink>
      <w:r>
        <w:t xml:space="preserve">).</w:t>
      </w:r>
    </w:p>
    <w:p>
      <w:pPr>
        <w:pStyle w:val="SourceCode"/>
      </w:pPr>
      <w:r>
        <w:rPr>
          <w:rStyle w:val="VerbatimChar"/>
        </w:rPr>
        <w:t xml:space="preserve">Adding missing grouping variables: `treat`</w:t>
      </w:r>
    </w:p>
    <w:tbl>
      <w:tblPr>
        <w:tblStyle w:val="Table"/>
        <w:tblW w:type="pct" w:w="5000"/>
        <w:tblLook w:firstRow="0" w:lastRow="0" w:firstColumn="0" w:lastColumn="0" w:noHBand="0" w:noVBand="0" w:val="0000"/>
        <w:jc w:val="start"/>
        <w:tblLayout w:type="fixed"/>
      </w:tblPr>
      <w:tblGrid>
        <w:gridCol w:w="7920"/>
      </w:tblGrid>
      <w:tr>
        <w:tc>
          <w:tcPr/>
          <w:bookmarkStart w:id="64" w:name="fig-regen-ba-rw-to"/>
          <w:p>
            <w:pPr>
              <w:pStyle w:val="Compact"/>
              <w:jc w:val="center"/>
            </w:pPr>
            <w:r>
              <w:drawing>
                <wp:inline>
                  <wp:extent cx="4620126" cy="3696101"/>
                  <wp:effectExtent b="0" l="0" r="0" t="0"/>
                  <wp:docPr descr="" title="" id="62" name="Picture"/>
                  <a:graphic>
                    <a:graphicData uri="http://schemas.openxmlformats.org/drawingml/2006/picture">
                      <pic:pic>
                        <pic:nvPicPr>
                          <pic:cNvPr descr="thesis/results_files/figure-docx/fig-regen-ba-rw-to-1.png" id="63" name="Picture"/>
                          <pic:cNvPicPr>
                            <a:picLocks noChangeArrowheads="1" noChangeAspect="1"/>
                          </pic:cNvPicPr>
                        </pic:nvPicPr>
                        <pic:blipFill>
                          <a:blip r:embed="rId61"/>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3.2: Basal area (m</w:t>
            </w:r>
            <w:r>
              <w:rPr>
                <w:vertAlign w:val="superscript"/>
              </w:rPr>
              <w:t xml:space="preserve">2</w:t>
            </w:r>
            <w:r>
              <w:t xml:space="preserve"> </w:t>
            </w:r>
            <w:r>
              <w:t xml:space="preserve">ha</w:t>
            </w:r>
            <w:r>
              <w:rPr>
                <w:vertAlign w:val="superscript"/>
              </w:rPr>
              <w:t xml:space="preserve">-1</w:t>
            </w:r>
            <w:r>
              <w:t xml:space="preserve">) modeled at the vegetation plot level for four harvest treatments and two species classes (n = 16). Gray bars represent the 95% confidence interval, black dots—the mean, and non-overlapping blue arrows signify statistical significance (α = 0.05).</w:t>
            </w:r>
          </w:p>
          <w:bookmarkEnd w:id="64"/>
        </w:tc>
      </w:tr>
    </w:tbl>
    <w:bookmarkEnd w:id="65"/>
    <w:bookmarkStart w:id="66" w:name="other-species"/>
    <w:p>
      <w:pPr>
        <w:pStyle w:val="Heading3"/>
      </w:pPr>
      <w:r>
        <w:t xml:space="preserve">3.1.2 Other species</w:t>
      </w:r>
    </w:p>
    <w:p>
      <w:pPr>
        <w:pStyle w:val="FirstParagraph"/>
      </w:pPr>
      <w:r>
        <w:t xml:space="preserve">Other species included grand fir, madrone, and California wax-myrtle, of which</w:t>
      </w:r>
      <w:r>
        <w:t xml:space="preserve"> </w:t>
      </w:r>
      <w:r>
        <w:t xml:space="preserve">there was a total of 23, 28, and 16 observations across our 16 macro plots</w:t>
      </w:r>
      <w:r>
        <w:t xml:space="preserve"> </w:t>
      </w:r>
      <w:r>
        <w:t xml:space="preserve">(comprising 64 tree density plots). Generally, each plot had between 0 and 9</w:t>
      </w:r>
      <w:r>
        <w:t xml:space="preserve"> </w:t>
      </w:r>
      <w:r>
        <w:t xml:space="preserve">observations of other species, except for one macro plot with the LD treatment,</w:t>
      </w:r>
      <w:r>
        <w:t xml:space="preserve"> </w:t>
      </w:r>
      <w:r>
        <w:t xml:space="preserve">which had 16 observations (data not shown).</w:t>
      </w:r>
    </w:p>
    <w:bookmarkEnd w:id="66"/>
    <w:bookmarkStart w:id="73" w:name="douglas-fir-counts"/>
    <w:p>
      <w:pPr>
        <w:pStyle w:val="Heading3"/>
      </w:pPr>
      <w:r>
        <w:t xml:space="preserve">3.1.3 Douglas-fir counts</w:t>
      </w:r>
    </w:p>
    <w:p>
      <w:pPr>
        <w:pStyle w:val="FirstParagraph"/>
      </w:pPr>
      <w:r>
        <w:t xml:space="preserve">Counts of regenerating Douglas-fir seedlings per vegetation plot (n = 16) were</w:t>
      </w:r>
      <w:r>
        <w:t xml:space="preserve"> </w:t>
      </w:r>
      <w:r>
        <w:t xml:space="preserve">analyzed for differences between harvest treatments using a negative binomial</w:t>
      </w:r>
      <w:r>
        <w:t xml:space="preserve"> </w:t>
      </w:r>
      <w:r>
        <w:t xml:space="preserve">response with a log link, fixed effects for treatment, random effects for site</w:t>
      </w:r>
      <w:r>
        <w:t xml:space="preserve"> </w:t>
      </w:r>
      <w:r>
        <w:t xml:space="preserve">and site x treatment interaction (</w:t>
      </w:r>
      <w:hyperlink w:anchor="lst-df-counts">
        <w:r>
          <w:rPr>
            <w:rStyle w:val="Hyperlink"/>
          </w:rPr>
          <w:t xml:space="preserve">Listing 3.2</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67" w:name="lst-df-counts"/>
          <w:p>
            <w:pPr>
              <w:jc w:val="center"/>
            </w:pPr>
            <w:pPr>
              <w:jc w:val="start"/>
              <w:spacing w:before="200"/>
              <w:pStyle w:val="ImageCaption"/>
            </w:pPr>
            <w:r>
              <w:t xml:space="preserve">Listing 3.2</w:t>
            </w:r>
          </w:p>
          <w:p>
            <w:pPr>
              <w:pStyle w:val="SourceCode"/>
              <w:jc w:val="center"/>
            </w:pPr>
            <w:r>
              <w:rPr>
                <w:rStyle w:val="VerbatimChar"/>
              </w:rPr>
              <w:t xml:space="preserve">Family: nbinom1 (log) </w:t>
            </w:r>
            <w:r>
              <w:br/>
            </w:r>
            <w:r>
              <w:rPr>
                <w:rStyle w:val="VerbatimChar"/>
              </w:rPr>
              <w:t xml:space="preserve">Conditional: n ~ treat + (1 | site) + (1 | site:treat)  </w:t>
            </w:r>
          </w:p>
          <w:bookmarkEnd w:id="67"/>
        </w:tc>
      </w:tr>
    </w:tbl>
    <w:p>
      <w:pPr>
        <w:pStyle w:val="FirstParagraph"/>
      </w:pPr>
      <w:r>
        <w:t xml:space="preserve">This model for Douglas-fir counts does not indicate any statistically</w:t>
      </w:r>
      <w:r>
        <w:t xml:space="preserve"> </w:t>
      </w:r>
      <w:r>
        <w:t xml:space="preserve">significant differences between treatments. Generally, we expect about 2</w:t>
      </w:r>
      <w:r>
        <w:t xml:space="preserve"> </w:t>
      </w:r>
      <w:r>
        <w:t xml:space="preserve">seedlings per 4-meter-radius plot, or about 413 seedlings per hectare</w:t>
      </w:r>
      <w:r>
        <w:t xml:space="preserve"> </w:t>
      </w:r>
      <w:r>
        <w:t xml:space="preserve">(</w:t>
      </w:r>
      <w:hyperlink w:anchor="fig-df-counts">
        <w:r>
          <w:rPr>
            <w:rStyle w:val="Hyperlink"/>
          </w:rPr>
          <w:t xml:space="preserve">Figure 3.3</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71" w:name="fig-df-counts"/>
          <w:p>
            <w:pPr>
              <w:pStyle w:val="Compact"/>
              <w:jc w:val="center"/>
            </w:pPr>
            <w:r>
              <w:drawing>
                <wp:inline>
                  <wp:extent cx="4620126" cy="3696101"/>
                  <wp:effectExtent b="0" l="0" r="0" t="0"/>
                  <wp:docPr descr="" title="" id="69" name="Picture"/>
                  <a:graphic>
                    <a:graphicData uri="http://schemas.openxmlformats.org/drawingml/2006/picture">
                      <pic:pic>
                        <pic:nvPicPr>
                          <pic:cNvPr descr="thesis/results_files/figure-docx/fig-df-counts-1.png" id="70" name="Picture"/>
                          <pic:cNvPicPr>
                            <a:picLocks noChangeArrowheads="1" noChangeAspect="1"/>
                          </pic:cNvPicPr>
                        </pic:nvPicPr>
                        <pic:blipFill>
                          <a:blip r:embed="rId68"/>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3.3: Vegetation plot level counts of regenerating Douglas-fir seedlings in four harvest treatments 10 years after harvest (n = 16). Results have been scaled to stems per hectare (4-meter radium plots).</w:t>
            </w:r>
          </w:p>
          <w:bookmarkEnd w:id="71"/>
        </w:tc>
      </w:tr>
    </w:tbl>
    <w:tbl>
      <w:tblPr>
        <w:tblStyle w:val="Table"/>
        <w:tblW w:type="pct" w:w="5000"/>
        <w:tblLook w:firstRow="0" w:lastRow="0" w:firstColumn="0" w:lastColumn="0" w:noHBand="0" w:noVBand="0" w:val="0000"/>
        <w:jc w:val="start"/>
        <w:tblLayout w:type="fixed"/>
      </w:tblPr>
      <w:tblGrid>
        <w:gridCol w:w="7920"/>
      </w:tblGrid>
      <w:tr>
        <w:tc>
          <w:tcPr/>
          <w:bookmarkStart w:id="72" w:name="tbl-df-counts"/>
          <w:p>
            <w:pPr>
              <w:jc w:val="center"/>
            </w:pPr>
            <w:pPr>
              <w:jc w:val="start"/>
              <w:spacing w:before="200"/>
              <w:pStyle w:val="ImageCaption"/>
            </w:pPr>
            <w:r>
              <w:t xml:space="preserve">Table 3.4: Vegetation plot level counts of regenerating Douglas-fir seedlings in four harvest treatments 10 years after harvest (n = 16). Results have been scaled to stems per hectare from 4-meter radium plots.</w:t>
            </w:r>
          </w:p>
          <w:tbl>
            <w:tblPr>
              <w:tblStyle w:val="Table"/>
              <w:tblW w:type="pct" w:w="3264"/>
              <w:tblLook w:firstRow="1" w:lastRow="0" w:firstColumn="0" w:lastColumn="0" w:noHBand="0" w:noVBand="0" w:val="0020"/>
              <w:jc w:val="start"/>
              <w:tblLayout w:type="fixed"/>
            </w:tblPr>
            <w:tblGrid>
              <w:gridCol w:w="1320"/>
              <w:gridCol w:w="1210"/>
              <w:gridCol w:w="1320"/>
              <w:gridCol w:w="1320"/>
            </w:tblGrid>
            <w:tr>
              <w:trPr>
                <w:tblHeader w:val="true"/>
              </w:trPr>
              <w:tc>
                <w:tcPr/>
                <w:p>
                  <w:pPr>
                    <w:pStyle w:val="Compact"/>
                    <w:jc w:val="left"/>
                    <w:jc w:val="center"/>
                  </w:pPr>
                  <w:r>
                    <w:t xml:space="preserve">Treatment</w:t>
                  </w:r>
                </w:p>
              </w:tc>
              <w:tc>
                <w:tcPr/>
                <w:p>
                  <w:pPr>
                    <w:pStyle w:val="Compact"/>
                    <w:jc w:val="left"/>
                    <w:jc w:val="center"/>
                  </w:pPr>
                  <w:r>
                    <w:t xml:space="preserve">estimate</w:t>
                  </w:r>
                </w:p>
              </w:tc>
              <w:tc>
                <w:tcPr/>
                <w:p>
                  <w:pPr>
                    <w:pStyle w:val="Compact"/>
                    <w:jc w:val="left"/>
                    <w:jc w:val="center"/>
                  </w:pPr>
                  <w:r>
                    <w:t xml:space="preserve">asymp.LCL</w:t>
                  </w:r>
                </w:p>
              </w:tc>
              <w:tc>
                <w:tcPr/>
                <w:p>
                  <w:pPr>
                    <w:pStyle w:val="Compact"/>
                    <w:jc w:val="left"/>
                    <w:jc w:val="center"/>
                  </w:pPr>
                  <w:r>
                    <w:t xml:space="preserve">asymp.UCL</w:t>
                  </w:r>
                </w:p>
              </w:tc>
            </w:tr>
            <w:tr>
              <w:tc>
                <w:tcPr/>
                <w:p>
                  <w:pPr>
                    <w:pStyle w:val="Compact"/>
                    <w:jc w:val="left"/>
                    <w:jc w:val="center"/>
                  </w:pPr>
                  <w:r>
                    <w:t xml:space="preserve">gs</w:t>
                  </w:r>
                </w:p>
              </w:tc>
              <w:tc>
                <w:tcPr/>
                <w:p>
                  <w:pPr>
                    <w:pStyle w:val="Compact"/>
                    <w:jc w:val="left"/>
                    <w:jc w:val="center"/>
                  </w:pPr>
                  <w:r>
                    <w:t xml:space="preserve">479</w:t>
                  </w:r>
                </w:p>
              </w:tc>
              <w:tc>
                <w:tcPr/>
                <w:p>
                  <w:pPr>
                    <w:pStyle w:val="Compact"/>
                    <w:jc w:val="left"/>
                    <w:jc w:val="center"/>
                  </w:pPr>
                  <w:r>
                    <w:t xml:space="preserve">88</w:t>
                  </w:r>
                </w:p>
              </w:tc>
              <w:tc>
                <w:tcPr/>
                <w:p>
                  <w:pPr>
                    <w:pStyle w:val="Compact"/>
                    <w:jc w:val="left"/>
                    <w:jc w:val="center"/>
                  </w:pPr>
                  <w:r>
                    <w:t xml:space="preserve">869</w:t>
                  </w:r>
                </w:p>
              </w:tc>
            </w:tr>
            <w:tr>
              <w:tc>
                <w:tcPr/>
                <w:p>
                  <w:pPr>
                    <w:pStyle w:val="Compact"/>
                    <w:jc w:val="left"/>
                    <w:jc w:val="center"/>
                  </w:pPr>
                  <w:r>
                    <w:t xml:space="preserve">ld</w:t>
                  </w:r>
                </w:p>
              </w:tc>
              <w:tc>
                <w:tcPr/>
                <w:p>
                  <w:pPr>
                    <w:pStyle w:val="Compact"/>
                    <w:jc w:val="left"/>
                    <w:jc w:val="center"/>
                  </w:pPr>
                  <w:r>
                    <w:t xml:space="preserve">394</w:t>
                  </w:r>
                </w:p>
              </w:tc>
              <w:tc>
                <w:tcPr/>
                <w:p>
                  <w:pPr>
                    <w:pStyle w:val="Compact"/>
                    <w:jc w:val="left"/>
                    <w:jc w:val="center"/>
                  </w:pPr>
                  <w:r>
                    <w:t xml:space="preserve">60</w:t>
                  </w:r>
                </w:p>
              </w:tc>
              <w:tc>
                <w:tcPr/>
                <w:p>
                  <w:pPr>
                    <w:pStyle w:val="Compact"/>
                    <w:jc w:val="left"/>
                    <w:jc w:val="center"/>
                  </w:pPr>
                  <w:r>
                    <w:t xml:space="preserve">728</w:t>
                  </w:r>
                </w:p>
              </w:tc>
            </w:tr>
            <w:tr>
              <w:tc>
                <w:tcPr/>
                <w:p>
                  <w:pPr>
                    <w:pStyle w:val="Compact"/>
                    <w:jc w:val="left"/>
                    <w:jc w:val="center"/>
                  </w:pPr>
                  <w:r>
                    <w:t xml:space="preserve">ha</w:t>
                  </w:r>
                </w:p>
              </w:tc>
              <w:tc>
                <w:tcPr/>
                <w:p>
                  <w:pPr>
                    <w:pStyle w:val="Compact"/>
                    <w:jc w:val="left"/>
                    <w:jc w:val="center"/>
                  </w:pPr>
                  <w:r>
                    <w:t xml:space="preserve">435</w:t>
                  </w:r>
                </w:p>
              </w:tc>
              <w:tc>
                <w:tcPr/>
                <w:p>
                  <w:pPr>
                    <w:pStyle w:val="Compact"/>
                    <w:jc w:val="left"/>
                    <w:jc w:val="center"/>
                  </w:pPr>
                  <w:r>
                    <w:t xml:space="preserve">65</w:t>
                  </w:r>
                </w:p>
              </w:tc>
              <w:tc>
                <w:tcPr/>
                <w:p>
                  <w:pPr>
                    <w:pStyle w:val="Compact"/>
                    <w:jc w:val="left"/>
                    <w:jc w:val="center"/>
                  </w:pPr>
                  <w:r>
                    <w:t xml:space="preserve">805</w:t>
                  </w:r>
                </w:p>
              </w:tc>
            </w:tr>
            <w:tr>
              <w:tc>
                <w:tcPr/>
                <w:p>
                  <w:pPr>
                    <w:pStyle w:val="Compact"/>
                    <w:jc w:val="left"/>
                    <w:jc w:val="center"/>
                  </w:pPr>
                  <w:r>
                    <w:t xml:space="preserve">hd</w:t>
                  </w:r>
                </w:p>
              </w:tc>
              <w:tc>
                <w:tcPr/>
                <w:p>
                  <w:pPr>
                    <w:pStyle w:val="Compact"/>
                    <w:jc w:val="left"/>
                    <w:jc w:val="center"/>
                  </w:pPr>
                  <w:r>
                    <w:t xml:space="preserve">632</w:t>
                  </w:r>
                </w:p>
              </w:tc>
              <w:tc>
                <w:tcPr/>
                <w:p>
                  <w:pPr>
                    <w:pStyle w:val="Compact"/>
                    <w:jc w:val="left"/>
                    <w:jc w:val="center"/>
                  </w:pPr>
                  <w:r>
                    <w:t xml:space="preserve">149</w:t>
                  </w:r>
                </w:p>
              </w:tc>
              <w:tc>
                <w:tcPr/>
                <w:p>
                  <w:pPr>
                    <w:pStyle w:val="Compact"/>
                    <w:jc w:val="left"/>
                    <w:jc w:val="center"/>
                  </w:pPr>
                  <w:r>
                    <w:t xml:space="preserve">1115</w:t>
                  </w:r>
                </w:p>
              </w:tc>
            </w:tr>
          </w:tbl>
          <w:bookmarkEnd w:id="72"/>
          <w:p/>
        </w:tc>
      </w:tr>
    </w:tbl>
    <w:bookmarkEnd w:id="73"/>
    <w:bookmarkEnd w:id="74"/>
    <w:bookmarkStart w:id="95" w:name="sprout-heights-1"/>
    <w:p>
      <w:pPr>
        <w:pStyle w:val="Heading2"/>
      </w:pPr>
      <w:r>
        <w:t xml:space="preserve">3.2 Sprout heights</w:t>
      </w:r>
    </w:p>
    <w:bookmarkStart w:id="86" w:name="height-increment"/>
    <w:p>
      <w:pPr>
        <w:pStyle w:val="Heading3"/>
      </w:pPr>
      <w:r>
        <w:t xml:space="preserve">3.2.1 Height increment</w:t>
      </w:r>
    </w:p>
    <w:p>
      <w:pPr>
        <w:pStyle w:val="FirstParagraph"/>
      </w:pPr>
      <w:r>
        <w:t xml:space="preserve">The selected height increment model used a normal response distribution on the</w:t>
      </w:r>
      <w:r>
        <w:t xml:space="preserve"> </w:t>
      </w:r>
      <w:r>
        <w:t xml:space="preserve">identity link. It included treatment, growth period, species, and the</w:t>
      </w:r>
      <w:r>
        <w:t xml:space="preserve"> </w:t>
      </w:r>
      <w:r>
        <w:t xml:space="preserve">interaction of species and growth period as fixed effects. A random intercept</w:t>
      </w:r>
      <w:r>
        <w:t xml:space="preserve"> </w:t>
      </w:r>
      <w:r>
        <w:t xml:space="preserve">was included for tree (multiple observations) and macro-plot, and an another</w:t>
      </w:r>
      <w:r>
        <w:t xml:space="preserve"> </w:t>
      </w:r>
      <w:r>
        <w:t xml:space="preserve">random effect allowed the response to vary by species differently for each macro</w:t>
      </w:r>
      <w:r>
        <w:t xml:space="preserve"> </w:t>
      </w:r>
      <w:r>
        <w:t xml:space="preserve">plot. The dispersion parameter for the response was modeled (with a log link) as</w:t>
      </w:r>
      <w:r>
        <w:t xml:space="preserve"> </w:t>
      </w:r>
      <w:r>
        <w:t xml:space="preserve">a function of treatment, growth period, species and all three-way interactions</w:t>
      </w:r>
      <w:r>
        <w:t xml:space="preserve"> </w:t>
      </w:r>
      <w:r>
        <w:t xml:space="preserve">(</w:t>
      </w:r>
      <w:hyperlink w:anchor="lst-sprout-ht-inc">
        <w:r>
          <w:rPr>
            <w:rStyle w:val="Hyperlink"/>
          </w:rPr>
          <w:t xml:space="preserve">Listing 3.3</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75" w:name="lst-sprout-ht-inc"/>
          <w:p>
            <w:pPr>
              <w:jc w:val="center"/>
            </w:pPr>
            <w:pPr>
              <w:jc w:val="start"/>
              <w:spacing w:before="200"/>
              <w:pStyle w:val="ImageCaption"/>
            </w:pPr>
            <w:r>
              <w:t xml:space="preserve">Listing 3.3</w:t>
            </w:r>
          </w:p>
          <w:p>
            <w:pPr>
              <w:pStyle w:val="SourceCode"/>
              <w:jc w:val="center"/>
            </w:pPr>
            <w:r>
              <w:rPr>
                <w:rStyle w:val="VerbatimChar"/>
              </w:rPr>
              <w:t xml:space="preserve">Family: gaussian (identity) </w:t>
            </w:r>
            <w:r>
              <w:br/>
            </w:r>
            <w:r>
              <w:rPr>
                <w:rStyle w:val="VerbatimChar"/>
              </w:rPr>
              <w:t xml:space="preserve">Conditional: ht_inc ~ treat + year * spp + (1 | tree) + (0 + spp | plot)  </w:t>
            </w:r>
            <w:r>
              <w:br/>
            </w:r>
            <w:r>
              <w:rPr>
                <w:rStyle w:val="VerbatimChar"/>
              </w:rPr>
              <w:t xml:space="preserve">Dispersion: ~spp * year * treat (log) </w:t>
            </w:r>
          </w:p>
          <w:bookmarkEnd w:id="75"/>
        </w:tc>
      </w:tr>
    </w:tbl>
    <w:p>
      <w:pPr>
        <w:pStyle w:val="SourceCode"/>
      </w:pPr>
      <w:r>
        <w:rPr>
          <w:rStyle w:val="VerbatimChar"/>
        </w:rPr>
        <w:t xml:space="preserve">Adding missing grouping variables: `spp`</w:t>
      </w:r>
      <w:r>
        <w:br/>
      </w:r>
      <w:r>
        <w:rPr>
          <w:rStyle w:val="VerbatimChar"/>
        </w:rPr>
        <w:t xml:space="preserve">Adding missing grouping variables: `spp`</w:t>
      </w:r>
    </w:p>
    <w:p>
      <w:pPr>
        <w:pStyle w:val="FirstParagraph"/>
      </w:pPr>
      <w:r>
        <w:t xml:space="preserve">The model selected based on AIC lacks a treatment x species interaction,</w:t>
      </w:r>
      <w:r>
        <w:t xml:space="preserve"> </w:t>
      </w:r>
      <w:r>
        <w:t xml:space="preserve">suggesting that there is not evidence that treatments affected species</w:t>
      </w:r>
      <w:r>
        <w:t xml:space="preserve"> </w:t>
      </w:r>
      <w:r>
        <w:t xml:space="preserve">differentially. It also lacks a treatment x year interaction. This means that</w:t>
      </w:r>
      <w:r>
        <w:t xml:space="preserve"> </w:t>
      </w:r>
      <w:r>
        <w:t xml:space="preserve">there was not enough evidence to support that treatment was related to changes</w:t>
      </w:r>
      <w:r>
        <w:t xml:space="preserve"> </w:t>
      </w:r>
      <w:r>
        <w:t xml:space="preserve">in growth rate.</w:t>
      </w:r>
    </w:p>
    <w:p>
      <w:pPr>
        <w:pStyle w:val="BodyText"/>
      </w:pPr>
      <w:r>
        <w:t xml:space="preserve">The inclusion of treatment factors in the model (0.001 ≤ p &lt; 0.03) suggests that</w:t>
      </w:r>
      <w:r>
        <w:t xml:space="preserve"> </w:t>
      </w:r>
      <w:r>
        <w:t xml:space="preserve">the levels of treatment were associated with different growth rates across</w:t>
      </w:r>
      <w:r>
        <w:t xml:space="preserve"> </w:t>
      </w:r>
      <w:r>
        <w:t xml:space="preserve">species and years. And the species x year interaction (p &lt; 0.001) suggests</w:t>
      </w:r>
      <w:r>
        <w:t xml:space="preserve"> </w:t>
      </w:r>
      <w:r>
        <w:t xml:space="preserve">changes in growth rates are different for redwood and tanoak</w:t>
      </w:r>
      <w:r>
        <w:t xml:space="preserve"> </w:t>
      </w:r>
      <w:r>
        <w:t xml:space="preserve">(</w:t>
      </w:r>
      <w:hyperlink w:anchor="fig-sprout-ht-inc-treat">
        <w:r>
          <w:rPr>
            <w:rStyle w:val="Hyperlink"/>
          </w:rPr>
          <w:t xml:space="preserve">Figure 3.4</w:t>
        </w:r>
      </w:hyperlink>
      <w:r>
        <w:t xml:space="preserve">).</w:t>
      </w:r>
    </w:p>
    <w:p>
      <w:pPr>
        <w:pStyle w:val="BodyText"/>
      </w:pPr>
      <w:r>
        <w:t xml:space="preserve">For tanoak, height increment was greatest in the GS treatment at</w:t>
      </w:r>
      <w:r>
        <w:t xml:space="preserve"> </w:t>
      </w:r>
      <w:r>
        <w:t xml:space="preserve">0.48 m yr</w:t>
      </w:r>
      <w:r>
        <w:rPr>
          <w:vertAlign w:val="superscript"/>
        </w:rPr>
        <w:t xml:space="preserve">-1</w:t>
      </w:r>
      <w:r>
        <w:t xml:space="preserve">.</w:t>
      </w:r>
      <w:r>
        <w:t xml:space="preserve"> </w:t>
      </w:r>
      <w:r>
        <w:t xml:space="preserve">This was about 0.17 m yr</w:t>
      </w:r>
      <w:r>
        <w:rPr>
          <w:vertAlign w:val="superscript"/>
        </w:rPr>
        <w:t xml:space="preserve">-1</w:t>
      </w:r>
      <w:r>
        <w:t xml:space="preserve"> </w:t>
      </w:r>
      <w:r>
        <w:t xml:space="preserve">more than in the HA and HD treatments,</w:t>
      </w:r>
      <w:r>
        <w:t xml:space="preserve"> </w:t>
      </w:r>
      <w:r>
        <w:t xml:space="preserve">which were very similar at about 0.31, 0.03,</w:t>
      </w:r>
      <w:r>
        <w:t xml:space="preserve"> </w:t>
      </w:r>
      <w:r>
        <w:t xml:space="preserve">, 0.24, 0.37 m yr</w:t>
      </w:r>
      <w:r>
        <w:rPr>
          <w:vertAlign w:val="superscript"/>
        </w:rPr>
        <w:t xml:space="preserve">-1</w:t>
      </w:r>
      <w:r>
        <w:t xml:space="preserve">.</w:t>
      </w:r>
    </w:p>
    <w:p>
      <w:pPr>
        <w:pStyle w:val="BodyText"/>
      </w:pPr>
      <w:r>
        <w:t xml:space="preserve">Redwood followed a similar pattern but with more pronounced differences between</w:t>
      </w:r>
      <w:r>
        <w:t xml:space="preserve"> </w:t>
      </w:r>
      <w:r>
        <w:t xml:space="preserve">treatments. Height increment for redwood in the GS treatment was</w:t>
      </w:r>
      <w:r>
        <w:t xml:space="preserve"> </w:t>
      </w:r>
      <w:r>
        <w:t xml:space="preserve">0.96 m yr</w:t>
      </w:r>
      <w:r>
        <w:rPr>
          <w:vertAlign w:val="superscript"/>
        </w:rPr>
        <w:t xml:space="preserve">-1</w:t>
      </w:r>
      <w:r>
        <w:t xml:space="preserve">,</w:t>
      </w:r>
      <w:r>
        <w:t xml:space="preserve"> </w:t>
      </w:r>
      <w:r>
        <w:t xml:space="preserve">which was about 0.4 m yr</w:t>
      </w:r>
      <w:r>
        <w:rPr>
          <w:vertAlign w:val="superscript"/>
        </w:rPr>
        <w:t xml:space="preserve">-1</w:t>
      </w:r>
      <w:r>
        <w:t xml:space="preserve"> </w:t>
      </w:r>
      <w:r>
        <w:t xml:space="preserve">greater than in the HD</w:t>
      </w:r>
      <w:r>
        <w:t xml:space="preserve"> </w:t>
      </w:r>
      <w:r>
        <w:t xml:space="preserve">treatment (p = 0).</w:t>
      </w:r>
      <w:r>
        <w:t xml:space="preserve"> </w:t>
      </w:r>
      <w:r>
        <w:t xml:space="preserve">Additionally, there was evidence that the GS treatment led to greater height increment than</w:t>
      </w:r>
      <w:r>
        <w:t xml:space="preserve"> </w:t>
      </w:r>
      <w:r>
        <w:t xml:space="preserve">the LD treatment by about 0.17 m yr</w:t>
      </w:r>
      <w:r>
        <w:rPr>
          <w:vertAlign w:val="superscript"/>
        </w:rPr>
        <w:t xml:space="preserve">-1</w:t>
      </w:r>
      <w:r>
        <w:t xml:space="preserve"> </w:t>
      </w:r>
      <w:r>
        <w:t xml:space="preserve">(p = 0). And the LD treatment was</w:t>
      </w:r>
      <w:r>
        <w:t xml:space="preserve"> </w:t>
      </w:r>
      <w:r>
        <w:t xml:space="preserve">higher than the HA treatment by about 0.15 m yr</w:t>
      </w:r>
      <w:r>
        <w:rPr>
          <w:vertAlign w:val="superscript"/>
        </w:rPr>
        <w:t xml:space="preserve">-1</w:t>
      </w:r>
      <w:r>
        <w:t xml:space="preserve"> </w:t>
      </w:r>
      <w:r>
        <w:t xml:space="preserve">(p = 0).</w:t>
      </w:r>
    </w:p>
    <w:p>
      <w:pPr>
        <w:pStyle w:val="SourceCode"/>
      </w:pPr>
      <w:r>
        <w:rPr>
          <w:rStyle w:val="VerbatimChar"/>
        </w:rPr>
        <w:t xml:space="preserve">Adding missing grouping variables: `spp`</w:t>
      </w:r>
    </w:p>
    <w:tbl>
      <w:tblPr>
        <w:tblStyle w:val="Table"/>
        <w:tblW w:type="pct" w:w="5000"/>
        <w:tblLook w:firstRow="0" w:lastRow="0" w:firstColumn="0" w:lastColumn="0" w:noHBand="0" w:noVBand="0" w:val="0000"/>
        <w:jc w:val="start"/>
        <w:tblLayout w:type="fixed"/>
      </w:tblPr>
      <w:tblGrid>
        <w:gridCol w:w="7920"/>
      </w:tblGrid>
      <w:tr>
        <w:tc>
          <w:tcPr/>
          <w:bookmarkStart w:id="79" w:name="fig-sprout-ht-inc-treat"/>
          <w:p>
            <w:pPr>
              <w:pStyle w:val="Compact"/>
              <w:jc w:val="center"/>
            </w:pPr>
            <w:r>
              <w:drawing>
                <wp:inline>
                  <wp:extent cx="4620126" cy="3696101"/>
                  <wp:effectExtent b="0" l="0" r="0" t="0"/>
                  <wp:docPr descr="" title="" id="77" name="Picture"/>
                  <a:graphic>
                    <a:graphicData uri="http://schemas.openxmlformats.org/drawingml/2006/picture">
                      <pic:pic>
                        <pic:nvPicPr>
                          <pic:cNvPr descr="thesis/results_files/figure-docx/fig-sprout-ht-inc-treat-1.png" id="78" name="Picture"/>
                          <pic:cNvPicPr>
                            <a:picLocks noChangeArrowheads="1" noChangeAspect="1"/>
                          </pic:cNvPicPr>
                        </pic:nvPicPr>
                        <pic:blipFill>
                          <a:blip r:embed="rId76"/>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3.4: Estimated marginal means for the effect of harvest treatment on redwood and tanoak sprout height increment, averaged over two growth periods, ten years after harvest. Gray bars represent confidence intervals and statistical significance (α = 0.05) is indicated by non-overlapping blue arrows.</w:t>
            </w:r>
          </w:p>
          <w:bookmarkEnd w:id="79"/>
        </w:tc>
      </w:tr>
    </w:tbl>
    <w:p>
      <w:pPr>
        <w:pStyle w:val="SourceCode"/>
      </w:pPr>
      <w:r>
        <w:rPr>
          <w:rStyle w:val="VerbatimChar"/>
        </w:rPr>
        <w:t xml:space="preserve">Adding missing grouping variables: `spp`</w:t>
      </w:r>
    </w:p>
    <w:tbl>
      <w:tblPr>
        <w:tblStyle w:val="Table"/>
        <w:tblW w:type="pct" w:w="5000"/>
        <w:tblLook w:firstRow="0" w:lastRow="0" w:firstColumn="0" w:lastColumn="0" w:noHBand="0" w:noVBand="0" w:val="0000"/>
        <w:jc w:val="start"/>
        <w:tblLayout w:type="fixed"/>
      </w:tblPr>
      <w:tblGrid>
        <w:gridCol w:w="7920"/>
      </w:tblGrid>
      <w:tr>
        <w:tc>
          <w:tcPr/>
          <w:bookmarkStart w:id="80" w:name="tbl-sprout-ht-inc-treat"/>
          <w:p>
            <w:pPr>
              <w:jc w:val="center"/>
            </w:pPr>
            <w:pPr>
              <w:jc w:val="start"/>
              <w:spacing w:before="200"/>
              <w:pStyle w:val="ImageCaption"/>
            </w:pPr>
            <w:r>
              <w:t xml:space="preserve">Table 3.5: Estimated marginal means for the effect of harvest treatment on redwood and tanoak sprout height increment, averaged over two growth periods, ten years after harvest.</w:t>
            </w:r>
          </w:p>
          <w:tbl>
            <w:tblPr>
              <w:tblStyle w:val="Table"/>
              <w:tblW w:type="pct" w:w="4658"/>
              <w:tblLook w:firstRow="1" w:lastRow="0" w:firstColumn="0" w:lastColumn="0" w:noHBand="0" w:noVBand="0" w:val="0020"/>
              <w:jc w:val="start"/>
              <w:tblLayout w:type="fixed"/>
            </w:tblPr>
            <w:tblGrid>
              <w:gridCol w:w="759"/>
              <w:gridCol w:w="1301"/>
              <w:gridCol w:w="1193"/>
              <w:gridCol w:w="867"/>
              <w:gridCol w:w="650"/>
              <w:gridCol w:w="1301"/>
              <w:gridCol w:w="1301"/>
            </w:tblGrid>
            <w:tr>
              <w:trPr>
                <w:tblHeader w:val="true"/>
              </w:trPr>
              <w:tc>
                <w:tcPr/>
                <w:p>
                  <w:pPr>
                    <w:pStyle w:val="Compact"/>
                    <w:jc w:val="left"/>
                    <w:jc w:val="center"/>
                  </w:pPr>
                  <w:r>
                    <w:t xml:space="preserve">spp</w:t>
                  </w:r>
                </w:p>
              </w:tc>
              <w:tc>
                <w:tcPr/>
                <w:p>
                  <w:pPr>
                    <w:pStyle w:val="Compact"/>
                    <w:jc w:val="left"/>
                    <w:jc w:val="center"/>
                  </w:pPr>
                  <w:r>
                    <w:t xml:space="preserve">treatment</w:t>
                  </w:r>
                </w:p>
              </w:tc>
              <w:tc>
                <w:tcPr/>
                <w:p>
                  <w:pPr>
                    <w:pStyle w:val="Compact"/>
                    <w:jc w:val="left"/>
                    <w:jc w:val="center"/>
                  </w:pPr>
                  <w:r>
                    <w:t xml:space="preserve">estimate</w:t>
                  </w:r>
                </w:p>
              </w:tc>
              <w:tc>
                <w:tcPr/>
                <w:p>
                  <w:pPr>
                    <w:pStyle w:val="Compact"/>
                    <w:jc w:val="left"/>
                    <w:jc w:val="center"/>
                  </w:pPr>
                  <w:r>
                    <w:t xml:space="preserve">SE</w:t>
                  </w:r>
                </w:p>
              </w:tc>
              <w:tc>
                <w:tcPr/>
                <w:p>
                  <w:pPr>
                    <w:pStyle w:val="Compact"/>
                    <w:jc w:val="left"/>
                    <w:jc w:val="center"/>
                  </w:pPr>
                  <w:r>
                    <w:t xml:space="preserve">df</w:t>
                  </w:r>
                </w:p>
              </w:tc>
              <w:tc>
                <w:tcPr/>
                <w:p>
                  <w:pPr>
                    <w:pStyle w:val="Compact"/>
                    <w:jc w:val="left"/>
                    <w:jc w:val="center"/>
                  </w:pPr>
                  <w:r>
                    <w:t xml:space="preserve">asymp.LCL</w:t>
                  </w:r>
                </w:p>
              </w:tc>
              <w:tc>
                <w:tcPr/>
                <w:p>
                  <w:pPr>
                    <w:pStyle w:val="Compact"/>
                    <w:jc w:val="left"/>
                    <w:jc w:val="center"/>
                  </w:pPr>
                  <w:r>
                    <w:t xml:space="preserve">asymp.UCL</w:t>
                  </w:r>
                </w:p>
              </w:tc>
            </w:tr>
            <w:tr>
              <w:tc>
                <w:tcPr/>
                <w:p>
                  <w:pPr>
                    <w:pStyle w:val="Compact"/>
                    <w:jc w:val="left"/>
                    <w:jc w:val="center"/>
                  </w:pPr>
                  <w:r>
                    <w:t xml:space="preserve">LIDE</w:t>
                  </w:r>
                </w:p>
              </w:tc>
              <w:tc>
                <w:tcPr/>
                <w:p>
                  <w:pPr>
                    <w:pStyle w:val="Compact"/>
                    <w:jc w:val="left"/>
                    <w:jc w:val="center"/>
                  </w:pPr>
                  <w:r>
                    <w:t xml:space="preserve">GS</w:t>
                  </w:r>
                </w:p>
              </w:tc>
              <w:tc>
                <w:tcPr/>
                <w:p>
                  <w:pPr>
                    <w:pStyle w:val="Compact"/>
                    <w:jc w:val="left"/>
                    <w:jc w:val="center"/>
                  </w:pPr>
                  <w:r>
                    <w:t xml:space="preserve">0.48</w:t>
                  </w:r>
                </w:p>
              </w:tc>
              <w:tc>
                <w:tcPr/>
                <w:p>
                  <w:pPr>
                    <w:pStyle w:val="Compact"/>
                    <w:jc w:val="left"/>
                    <w:jc w:val="center"/>
                  </w:pPr>
                  <w:r>
                    <w:t xml:space="preserve">0.034</w:t>
                  </w:r>
                </w:p>
              </w:tc>
              <w:tc>
                <w:tcPr/>
                <w:p>
                  <w:pPr>
                    <w:pStyle w:val="Compact"/>
                    <w:jc w:val="left"/>
                    <w:jc w:val="center"/>
                  </w:pPr>
                  <w:r>
                    <w:t xml:space="preserve">Inf</w:t>
                  </w:r>
                </w:p>
              </w:tc>
              <w:tc>
                <w:tcPr/>
                <w:p>
                  <w:pPr>
                    <w:pStyle w:val="Compact"/>
                    <w:jc w:val="left"/>
                    <w:jc w:val="center"/>
                  </w:pPr>
                  <w:r>
                    <w:t xml:space="preserve">0.41</w:t>
                  </w:r>
                </w:p>
              </w:tc>
              <w:tc>
                <w:tcPr/>
                <w:p>
                  <w:pPr>
                    <w:pStyle w:val="Compact"/>
                    <w:jc w:val="left"/>
                    <w:jc w:val="center"/>
                  </w:pPr>
                  <w:r>
                    <w:t xml:space="preserve">0.54</w:t>
                  </w:r>
                </w:p>
              </w:tc>
            </w:tr>
            <w:tr>
              <w:tc>
                <w:tcPr/>
                <w:p>
                  <w:pPr>
                    <w:pStyle w:val="Compact"/>
                    <w:jc w:val="left"/>
                    <w:jc w:val="center"/>
                  </w:pPr>
                  <w:r>
                    <w:t xml:space="preserve">LIDE</w:t>
                  </w:r>
                </w:p>
              </w:tc>
              <w:tc>
                <w:tcPr/>
                <w:p>
                  <w:pPr>
                    <w:pStyle w:val="Compact"/>
                    <w:jc w:val="left"/>
                    <w:jc w:val="center"/>
                  </w:pPr>
                  <w:r>
                    <w:t xml:space="preserve">LD</w:t>
                  </w:r>
                </w:p>
              </w:tc>
              <w:tc>
                <w:tcPr/>
                <w:p>
                  <w:pPr>
                    <w:pStyle w:val="Compact"/>
                    <w:jc w:val="left"/>
                    <w:jc w:val="center"/>
                  </w:pPr>
                  <w:r>
                    <w:t xml:space="preserve">0.39</w:t>
                  </w:r>
                </w:p>
              </w:tc>
              <w:tc>
                <w:tcPr/>
                <w:p>
                  <w:pPr>
                    <w:pStyle w:val="Compact"/>
                    <w:jc w:val="left"/>
                    <w:jc w:val="center"/>
                  </w:pPr>
                  <w:r>
                    <w:t xml:space="preserve">0.033</w:t>
                  </w:r>
                </w:p>
              </w:tc>
              <w:tc>
                <w:tcPr/>
                <w:p>
                  <w:pPr>
                    <w:pStyle w:val="Compact"/>
                    <w:jc w:val="left"/>
                    <w:jc w:val="center"/>
                  </w:pPr>
                  <w:r>
                    <w:t xml:space="preserve">Inf</w:t>
                  </w:r>
                </w:p>
              </w:tc>
              <w:tc>
                <w:tcPr/>
                <w:p>
                  <w:pPr>
                    <w:pStyle w:val="Compact"/>
                    <w:jc w:val="left"/>
                    <w:jc w:val="center"/>
                  </w:pPr>
                  <w:r>
                    <w:t xml:space="preserve">0.32</w:t>
                  </w:r>
                </w:p>
              </w:tc>
              <w:tc>
                <w:tcPr/>
                <w:p>
                  <w:pPr>
                    <w:pStyle w:val="Compact"/>
                    <w:jc w:val="left"/>
                    <w:jc w:val="center"/>
                  </w:pPr>
                  <w:r>
                    <w:t xml:space="preserve">0.46</w:t>
                  </w:r>
                </w:p>
              </w:tc>
            </w:tr>
            <w:tr>
              <w:tc>
                <w:tcPr/>
                <w:p>
                  <w:pPr>
                    <w:pStyle w:val="Compact"/>
                    <w:jc w:val="left"/>
                    <w:jc w:val="center"/>
                  </w:pPr>
                  <w:r>
                    <w:t xml:space="preserve">LIDE</w:t>
                  </w:r>
                </w:p>
              </w:tc>
              <w:tc>
                <w:tcPr/>
                <w:p>
                  <w:pPr>
                    <w:pStyle w:val="Compact"/>
                    <w:jc w:val="left"/>
                    <w:jc w:val="center"/>
                  </w:pPr>
                  <w:r>
                    <w:t xml:space="preserve">HA</w:t>
                  </w:r>
                </w:p>
              </w:tc>
              <w:tc>
                <w:tcPr/>
                <w:p>
                  <w:pPr>
                    <w:pStyle w:val="Compact"/>
                    <w:jc w:val="left"/>
                    <w:jc w:val="center"/>
                  </w:pPr>
                  <w:r>
                    <w:t xml:space="preserve">0.31</w:t>
                  </w:r>
                </w:p>
              </w:tc>
              <w:tc>
                <w:tcPr/>
                <w:p>
                  <w:pPr>
                    <w:pStyle w:val="Compact"/>
                    <w:jc w:val="left"/>
                    <w:jc w:val="center"/>
                  </w:pPr>
                  <w:r>
                    <w:t xml:space="preserve">0.032</w:t>
                  </w:r>
                </w:p>
              </w:tc>
              <w:tc>
                <w:tcPr/>
                <w:p>
                  <w:pPr>
                    <w:pStyle w:val="Compact"/>
                    <w:jc w:val="left"/>
                    <w:jc w:val="center"/>
                  </w:pPr>
                  <w:r>
                    <w:t xml:space="preserve">Inf</w:t>
                  </w:r>
                </w:p>
              </w:tc>
              <w:tc>
                <w:tcPr/>
                <w:p>
                  <w:pPr>
                    <w:pStyle w:val="Compact"/>
                    <w:jc w:val="left"/>
                    <w:jc w:val="center"/>
                  </w:pPr>
                  <w:r>
                    <w:t xml:space="preserve">0.24</w:t>
                  </w:r>
                </w:p>
              </w:tc>
              <w:tc>
                <w:tcPr/>
                <w:p>
                  <w:pPr>
                    <w:pStyle w:val="Compact"/>
                    <w:jc w:val="left"/>
                    <w:jc w:val="center"/>
                  </w:pPr>
                  <w:r>
                    <w:t xml:space="preserve">0.37</w:t>
                  </w:r>
                </w:p>
              </w:tc>
            </w:tr>
            <w:tr>
              <w:tc>
                <w:tcPr/>
                <w:p>
                  <w:pPr>
                    <w:pStyle w:val="Compact"/>
                    <w:jc w:val="left"/>
                    <w:jc w:val="center"/>
                  </w:pPr>
                  <w:r>
                    <w:t xml:space="preserve">LIDE</w:t>
                  </w:r>
                </w:p>
              </w:tc>
              <w:tc>
                <w:tcPr/>
                <w:p>
                  <w:pPr>
                    <w:pStyle w:val="Compact"/>
                    <w:jc w:val="left"/>
                    <w:jc w:val="center"/>
                  </w:pPr>
                  <w:r>
                    <w:t xml:space="preserve">HD</w:t>
                  </w:r>
                </w:p>
              </w:tc>
              <w:tc>
                <w:tcPr/>
                <w:p>
                  <w:pPr>
                    <w:pStyle w:val="Compact"/>
                    <w:jc w:val="left"/>
                    <w:jc w:val="center"/>
                  </w:pPr>
                  <w:r>
                    <w:t xml:space="preserve">0.3</w:t>
                  </w:r>
                </w:p>
              </w:tc>
              <w:tc>
                <w:tcPr/>
                <w:p>
                  <w:pPr>
                    <w:pStyle w:val="Compact"/>
                    <w:jc w:val="left"/>
                    <w:jc w:val="center"/>
                  </w:pPr>
                  <w:r>
                    <w:t xml:space="preserve">0.034</w:t>
                  </w:r>
                </w:p>
              </w:tc>
              <w:tc>
                <w:tcPr/>
                <w:p>
                  <w:pPr>
                    <w:pStyle w:val="Compact"/>
                    <w:jc w:val="left"/>
                    <w:jc w:val="center"/>
                  </w:pPr>
                  <w:r>
                    <w:t xml:space="preserve">Inf</w:t>
                  </w:r>
                </w:p>
              </w:tc>
              <w:tc>
                <w:tcPr/>
                <w:p>
                  <w:pPr>
                    <w:pStyle w:val="Compact"/>
                    <w:jc w:val="left"/>
                    <w:jc w:val="center"/>
                  </w:pPr>
                  <w:r>
                    <w:t xml:space="preserve">0.23</w:t>
                  </w:r>
                </w:p>
              </w:tc>
              <w:tc>
                <w:tcPr/>
                <w:p>
                  <w:pPr>
                    <w:pStyle w:val="Compact"/>
                    <w:jc w:val="left"/>
                    <w:jc w:val="center"/>
                  </w:pPr>
                  <w:r>
                    <w:t xml:space="preserve">0.37</w:t>
                  </w:r>
                </w:p>
              </w:tc>
            </w:tr>
            <w:tr>
              <w:tc>
                <w:tcPr/>
                <w:p>
                  <w:pPr>
                    <w:pStyle w:val="Compact"/>
                    <w:jc w:val="left"/>
                    <w:jc w:val="center"/>
                  </w:pPr>
                  <w:r>
                    <w:t xml:space="preserve">SESE</w:t>
                  </w:r>
                </w:p>
              </w:tc>
              <w:tc>
                <w:tcPr/>
                <w:p>
                  <w:pPr>
                    <w:pStyle w:val="Compact"/>
                    <w:jc w:val="left"/>
                    <w:jc w:val="center"/>
                  </w:pPr>
                  <w:r>
                    <w:t xml:space="preserve">GS</w:t>
                  </w:r>
                </w:p>
              </w:tc>
              <w:tc>
                <w:tcPr/>
                <w:p>
                  <w:pPr>
                    <w:pStyle w:val="Compact"/>
                    <w:jc w:val="left"/>
                    <w:jc w:val="center"/>
                  </w:pPr>
                  <w:r>
                    <w:t xml:space="preserve">0.96</w:t>
                  </w:r>
                </w:p>
              </w:tc>
              <w:tc>
                <w:tcPr/>
                <w:p>
                  <w:pPr>
                    <w:pStyle w:val="Compact"/>
                    <w:jc w:val="left"/>
                    <w:jc w:val="center"/>
                  </w:pPr>
                  <w:r>
                    <w:t xml:space="preserve">0.052</w:t>
                  </w:r>
                </w:p>
              </w:tc>
              <w:tc>
                <w:tcPr/>
                <w:p>
                  <w:pPr>
                    <w:pStyle w:val="Compact"/>
                    <w:jc w:val="left"/>
                    <w:jc w:val="center"/>
                  </w:pPr>
                  <w:r>
                    <w:t xml:space="preserve">Inf</w:t>
                  </w:r>
                </w:p>
              </w:tc>
              <w:tc>
                <w:tcPr/>
                <w:p>
                  <w:pPr>
                    <w:pStyle w:val="Compact"/>
                    <w:jc w:val="left"/>
                    <w:jc w:val="center"/>
                  </w:pPr>
                  <w:r>
                    <w:t xml:space="preserve">0.86</w:t>
                  </w:r>
                </w:p>
              </w:tc>
              <w:tc>
                <w:tcPr/>
                <w:p>
                  <w:pPr>
                    <w:pStyle w:val="Compact"/>
                    <w:jc w:val="left"/>
                    <w:jc w:val="center"/>
                  </w:pPr>
                  <w:r>
                    <w:t xml:space="preserve">1.06</w:t>
                  </w:r>
                </w:p>
              </w:tc>
            </w:tr>
            <w:tr>
              <w:tc>
                <w:tcPr/>
                <w:p>
                  <w:pPr>
                    <w:pStyle w:val="Compact"/>
                    <w:jc w:val="left"/>
                    <w:jc w:val="center"/>
                  </w:pPr>
                  <w:r>
                    <w:t xml:space="preserve">SESE</w:t>
                  </w:r>
                </w:p>
              </w:tc>
              <w:tc>
                <w:tcPr/>
                <w:p>
                  <w:pPr>
                    <w:pStyle w:val="Compact"/>
                    <w:jc w:val="left"/>
                    <w:jc w:val="center"/>
                  </w:pPr>
                  <w:r>
                    <w:t xml:space="preserve">LD</w:t>
                  </w:r>
                </w:p>
              </w:tc>
              <w:tc>
                <w:tcPr/>
                <w:p>
                  <w:pPr>
                    <w:pStyle w:val="Compact"/>
                    <w:jc w:val="left"/>
                    <w:jc w:val="center"/>
                  </w:pPr>
                  <w:r>
                    <w:t xml:space="preserve">0.79</w:t>
                  </w:r>
                </w:p>
              </w:tc>
              <w:tc>
                <w:tcPr/>
                <w:p>
                  <w:pPr>
                    <w:pStyle w:val="Compact"/>
                    <w:jc w:val="left"/>
                    <w:jc w:val="center"/>
                  </w:pPr>
                  <w:r>
                    <w:t xml:space="preserve">0.051</w:t>
                  </w:r>
                </w:p>
              </w:tc>
              <w:tc>
                <w:tcPr/>
                <w:p>
                  <w:pPr>
                    <w:pStyle w:val="Compact"/>
                    <w:jc w:val="left"/>
                    <w:jc w:val="center"/>
                  </w:pPr>
                  <w:r>
                    <w:t xml:space="preserve">Inf</w:t>
                  </w:r>
                </w:p>
              </w:tc>
              <w:tc>
                <w:tcPr/>
                <w:p>
                  <w:pPr>
                    <w:pStyle w:val="Compact"/>
                    <w:jc w:val="left"/>
                    <w:jc w:val="center"/>
                  </w:pPr>
                  <w:r>
                    <w:t xml:space="preserve">0.69</w:t>
                  </w:r>
                </w:p>
              </w:tc>
              <w:tc>
                <w:tcPr/>
                <w:p>
                  <w:pPr>
                    <w:pStyle w:val="Compact"/>
                    <w:jc w:val="left"/>
                    <w:jc w:val="center"/>
                  </w:pPr>
                  <w:r>
                    <w:t xml:space="preserve">0.89</w:t>
                  </w:r>
                </w:p>
              </w:tc>
            </w:tr>
            <w:tr>
              <w:tc>
                <w:tcPr/>
                <w:p>
                  <w:pPr>
                    <w:pStyle w:val="Compact"/>
                    <w:jc w:val="left"/>
                    <w:jc w:val="center"/>
                  </w:pPr>
                  <w:r>
                    <w:t xml:space="preserve">SESE</w:t>
                  </w:r>
                </w:p>
              </w:tc>
              <w:tc>
                <w:tcPr/>
                <w:p>
                  <w:pPr>
                    <w:pStyle w:val="Compact"/>
                    <w:jc w:val="left"/>
                    <w:jc w:val="center"/>
                  </w:pPr>
                  <w:r>
                    <w:t xml:space="preserve">HA</w:t>
                  </w:r>
                </w:p>
              </w:tc>
              <w:tc>
                <w:tcPr/>
                <w:p>
                  <w:pPr>
                    <w:pStyle w:val="Compact"/>
                    <w:jc w:val="left"/>
                    <w:jc w:val="center"/>
                  </w:pPr>
                  <w:r>
                    <w:t xml:space="preserve">0.63</w:t>
                  </w:r>
                </w:p>
              </w:tc>
              <w:tc>
                <w:tcPr/>
                <w:p>
                  <w:pPr>
                    <w:pStyle w:val="Compact"/>
                    <w:jc w:val="left"/>
                    <w:jc w:val="center"/>
                  </w:pPr>
                  <w:r>
                    <w:t xml:space="preserve">0.05</w:t>
                  </w:r>
                </w:p>
              </w:tc>
              <w:tc>
                <w:tcPr/>
                <w:p>
                  <w:pPr>
                    <w:pStyle w:val="Compact"/>
                    <w:jc w:val="left"/>
                    <w:jc w:val="center"/>
                  </w:pPr>
                  <w:r>
                    <w:t xml:space="preserve">Inf</w:t>
                  </w:r>
                </w:p>
              </w:tc>
              <w:tc>
                <w:tcPr/>
                <w:p>
                  <w:pPr>
                    <w:pStyle w:val="Compact"/>
                    <w:jc w:val="left"/>
                    <w:jc w:val="center"/>
                  </w:pPr>
                  <w:r>
                    <w:t xml:space="preserve">0.54</w:t>
                  </w:r>
                </w:p>
              </w:tc>
              <w:tc>
                <w:tcPr/>
                <w:p>
                  <w:pPr>
                    <w:pStyle w:val="Compact"/>
                    <w:jc w:val="left"/>
                    <w:jc w:val="center"/>
                  </w:pPr>
                  <w:r>
                    <w:t xml:space="preserve">0.73</w:t>
                  </w:r>
                </w:p>
              </w:tc>
            </w:tr>
            <w:tr>
              <w:tc>
                <w:tcPr/>
                <w:p>
                  <w:pPr>
                    <w:pStyle w:val="Compact"/>
                    <w:jc w:val="left"/>
                    <w:jc w:val="center"/>
                  </w:pPr>
                  <w:r>
                    <w:t xml:space="preserve">SESE</w:t>
                  </w:r>
                </w:p>
              </w:tc>
              <w:tc>
                <w:tcPr/>
                <w:p>
                  <w:pPr>
                    <w:pStyle w:val="Compact"/>
                    <w:jc w:val="left"/>
                    <w:jc w:val="center"/>
                  </w:pPr>
                  <w:r>
                    <w:t xml:space="preserve">HD</w:t>
                  </w:r>
                </w:p>
              </w:tc>
              <w:tc>
                <w:tcPr/>
                <w:p>
                  <w:pPr>
                    <w:pStyle w:val="Compact"/>
                    <w:jc w:val="left"/>
                    <w:jc w:val="center"/>
                  </w:pPr>
                  <w:r>
                    <w:t xml:space="preserve">0.56</w:t>
                  </w:r>
                </w:p>
              </w:tc>
              <w:tc>
                <w:tcPr/>
                <w:p>
                  <w:pPr>
                    <w:pStyle w:val="Compact"/>
                    <w:jc w:val="left"/>
                    <w:jc w:val="center"/>
                  </w:pPr>
                  <w:r>
                    <w:t xml:space="preserve">0.052</w:t>
                  </w:r>
                </w:p>
              </w:tc>
              <w:tc>
                <w:tcPr/>
                <w:p>
                  <w:pPr>
                    <w:pStyle w:val="Compact"/>
                    <w:jc w:val="left"/>
                    <w:jc w:val="center"/>
                  </w:pPr>
                  <w:r>
                    <w:t xml:space="preserve">Inf</w:t>
                  </w:r>
                </w:p>
              </w:tc>
              <w:tc>
                <w:tcPr/>
                <w:p>
                  <w:pPr>
                    <w:pStyle w:val="Compact"/>
                    <w:jc w:val="left"/>
                    <w:jc w:val="center"/>
                  </w:pPr>
                  <w:r>
                    <w:t xml:space="preserve">0.46</w:t>
                  </w:r>
                </w:p>
              </w:tc>
              <w:tc>
                <w:tcPr/>
                <w:p>
                  <w:pPr>
                    <w:pStyle w:val="Compact"/>
                    <w:jc w:val="left"/>
                    <w:jc w:val="center"/>
                  </w:pPr>
                  <w:r>
                    <w:t xml:space="preserve">0.66</w:t>
                  </w:r>
                </w:p>
              </w:tc>
            </w:tr>
          </w:tbl>
          <w:bookmarkEnd w:id="80"/>
          <w:p/>
        </w:tc>
      </w:tr>
    </w:tbl>
    <w:p>
      <w:pPr>
        <w:pStyle w:val="SourceCode"/>
      </w:pPr>
      <w:r>
        <w:rPr>
          <w:rStyle w:val="VerbatimChar"/>
        </w:rPr>
        <w:t xml:space="preserve">Adding missing grouping variables: `spp`</w:t>
      </w:r>
      <w:r>
        <w:br/>
      </w:r>
      <w:r>
        <w:rPr>
          <w:rStyle w:val="VerbatimChar"/>
        </w:rPr>
        <w:t xml:space="preserve">Adding missing grouping variables: `spp`</w:t>
      </w:r>
    </w:p>
    <w:p>
      <w:pPr>
        <w:pStyle w:val="FirstParagraph"/>
      </w:pPr>
      <w:r>
        <w:t xml:space="preserve">Redwood growth slowed from 0.80 to 0.67 m yr</w:t>
      </w:r>
      <w:r>
        <w:rPr>
          <w:vertAlign w:val="superscript"/>
        </w:rPr>
        <w:t xml:space="preserve">-1</w:t>
      </w:r>
      <w:r>
        <w:t xml:space="preserve"> </w:t>
      </w:r>
      <w:r>
        <w:t xml:space="preserve">in the second period and tanoak</w:t>
      </w:r>
      <w:r>
        <w:t xml:space="preserve"> </w:t>
      </w:r>
      <w:r>
        <w:t xml:space="preserve">slowed from 0.39 to 0.34 m yr</w:t>
      </w:r>
      <w:r>
        <w:rPr>
          <w:vertAlign w:val="superscript"/>
        </w:rPr>
        <w:t xml:space="preserve">-1</w:t>
      </w:r>
      <w:r>
        <w:t xml:space="preserve">.</w:t>
      </w:r>
    </w:p>
    <w:p>
      <w:pPr>
        <w:pStyle w:val="BodyText"/>
      </w:pPr>
      <w:r>
        <w:t xml:space="preserve">Redwood grew faster than tanoak, but slowed down more relative to it in the</w:t>
      </w:r>
      <w:r>
        <w:t xml:space="preserve"> </w:t>
      </w:r>
      <w:r>
        <w:t xml:space="preserve">second period. Height increment for redwood was 0.42 m yr</w:t>
      </w:r>
      <w:r>
        <w:rPr>
          <w:vertAlign w:val="superscript"/>
        </w:rPr>
        <w:t xml:space="preserve">-1</w:t>
      </w:r>
      <w:r>
        <w:t xml:space="preserve"> </w:t>
      </w:r>
      <w:r>
        <w:t xml:space="preserve">greater than</w:t>
      </w:r>
      <w:r>
        <w:t xml:space="preserve"> </w:t>
      </w:r>
      <w:r>
        <w:t xml:space="preserve">tanoak in the first period and 0.33 m yr</w:t>
      </w:r>
      <w:r>
        <w:rPr>
          <w:vertAlign w:val="superscript"/>
        </w:rPr>
        <w:t xml:space="preserve">-1</w:t>
      </w:r>
      <w:r>
        <w:t xml:space="preserve"> </w:t>
      </w:r>
      <w:r>
        <w:t xml:space="preserve">greater than tanoak in the second</w:t>
      </w:r>
      <w:r>
        <w:t xml:space="preserve"> </w:t>
      </w:r>
      <w:r>
        <w:t xml:space="preserve">period (</w:t>
      </w:r>
      <w:hyperlink w:anchor="fig-sprout-ht-inc-year">
        <w:r>
          <w:rPr>
            <w:rStyle w:val="Hyperlink"/>
          </w:rPr>
          <w:t xml:space="preserve">Figure 3.5</w:t>
        </w:r>
      </w:hyperlink>
      <w:r>
        <w:t xml:space="preserve">).</w:t>
      </w:r>
    </w:p>
    <w:p>
      <w:pPr>
        <w:pStyle w:val="SourceCode"/>
      </w:pPr>
      <w:r>
        <w:rPr>
          <w:rStyle w:val="VerbatimChar"/>
        </w:rPr>
        <w:t xml:space="preserve">Adding missing grouping variables: `spp`</w:t>
      </w:r>
    </w:p>
    <w:tbl>
      <w:tblPr>
        <w:tblStyle w:val="Table"/>
        <w:tblW w:type="pct" w:w="5000"/>
        <w:tblLook w:firstRow="0" w:lastRow="0" w:firstColumn="0" w:lastColumn="0" w:noHBand="0" w:noVBand="0" w:val="0000"/>
        <w:jc w:val="start"/>
        <w:tblLayout w:type="fixed"/>
      </w:tblPr>
      <w:tblGrid>
        <w:gridCol w:w="7920"/>
      </w:tblGrid>
      <w:tr>
        <w:tc>
          <w:tcPr/>
          <w:bookmarkStart w:id="84" w:name="fig-sprout-ht-inc-year"/>
          <w:p>
            <w:pPr>
              <w:pStyle w:val="Compact"/>
              <w:jc w:val="center"/>
            </w:pPr>
            <w:r>
              <w:drawing>
                <wp:inline>
                  <wp:extent cx="4620126" cy="3696101"/>
                  <wp:effectExtent b="0" l="0" r="0" t="0"/>
                  <wp:docPr descr="" title="" id="82" name="Picture"/>
                  <a:graphic>
                    <a:graphicData uri="http://schemas.openxmlformats.org/drawingml/2006/picture">
                      <pic:pic>
                        <pic:nvPicPr>
                          <pic:cNvPr descr="thesis/results_files/figure-docx/fig-sprout-ht-inc-year-1.png" id="83" name="Picture"/>
                          <pic:cNvPicPr>
                            <a:picLocks noChangeArrowheads="1" noChangeAspect="1"/>
                          </pic:cNvPicPr>
                        </pic:nvPicPr>
                        <pic:blipFill>
                          <a:blip r:embed="rId81"/>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3.5: Estimated marginal means for the effect of growth period on redwood and tanoak sprout height increment, averaged over four harvest treatments, from years 1 to 5, and years 5 to 10 after harvest, plotted alongside actual data. Gray bars represent confidence intervals and statistical significance (α = 0.05) is indicated by non-overlapping blue arrows.</w:t>
            </w:r>
          </w:p>
          <w:bookmarkEnd w:id="84"/>
        </w:tc>
      </w:tr>
    </w:tbl>
    <w:p>
      <w:pPr>
        <w:pStyle w:val="SourceCode"/>
      </w:pPr>
      <w:r>
        <w:rPr>
          <w:rStyle w:val="VerbatimChar"/>
        </w:rPr>
        <w:t xml:space="preserve">Adding missing grouping variables: `spp`</w:t>
      </w:r>
    </w:p>
    <w:tbl>
      <w:tblPr>
        <w:tblStyle w:val="Table"/>
        <w:tblW w:type="pct" w:w="5000"/>
        <w:tblLook w:firstRow="0" w:lastRow="0" w:firstColumn="0" w:lastColumn="0" w:noHBand="0" w:noVBand="0" w:val="0000"/>
        <w:jc w:val="start"/>
        <w:tblLayout w:type="fixed"/>
      </w:tblPr>
      <w:tblGrid>
        <w:gridCol w:w="7920"/>
      </w:tblGrid>
      <w:tr>
        <w:tc>
          <w:tcPr/>
          <w:bookmarkStart w:id="85" w:name="tbl-sprout-ht-inc-year"/>
          <w:p>
            <w:pPr>
              <w:jc w:val="center"/>
            </w:pPr>
            <w:pPr>
              <w:jc w:val="start"/>
              <w:spacing w:before="200"/>
              <w:pStyle w:val="ImageCaption"/>
            </w:pPr>
            <w:r>
              <w:t xml:space="preserve">Table 3.6: Estimated marginal means for the effect of growth period on redwood and tanoak sprout height increment, averaged over four harvest treatments, from years 1 to 5, and years 5 to 10 after harvest.</w:t>
            </w:r>
          </w:p>
          <w:tbl>
            <w:tblPr>
              <w:tblStyle w:val="Table"/>
              <w:tblW w:type="pct" w:w="4375"/>
              <w:tblLook w:firstRow="1" w:lastRow="0" w:firstColumn="0" w:lastColumn="0" w:noHBand="0" w:noVBand="0" w:val="0020"/>
              <w:jc w:val="start"/>
              <w:tblLayout w:type="fixed"/>
            </w:tblPr>
            <w:tblGrid>
              <w:gridCol w:w="770"/>
              <w:gridCol w:w="770"/>
              <w:gridCol w:w="1210"/>
              <w:gridCol w:w="880"/>
              <w:gridCol w:w="660"/>
              <w:gridCol w:w="1320"/>
              <w:gridCol w:w="1320"/>
            </w:tblGrid>
            <w:tr>
              <w:trPr>
                <w:tblHeader w:val="true"/>
              </w:trPr>
              <w:tc>
                <w:tcPr/>
                <w:p>
                  <w:pPr>
                    <w:pStyle w:val="Compact"/>
                    <w:jc w:val="left"/>
                    <w:jc w:val="center"/>
                  </w:pPr>
                  <w:r>
                    <w:t xml:space="preserve">spp</w:t>
                  </w:r>
                </w:p>
              </w:tc>
              <w:tc>
                <w:tcPr/>
                <w:p>
                  <w:pPr>
                    <w:pStyle w:val="Compact"/>
                    <w:jc w:val="left"/>
                    <w:jc w:val="center"/>
                  </w:pPr>
                  <w:r>
                    <w:t xml:space="preserve">year</w:t>
                  </w:r>
                </w:p>
              </w:tc>
              <w:tc>
                <w:tcPr/>
                <w:p>
                  <w:pPr>
                    <w:pStyle w:val="Compact"/>
                    <w:jc w:val="left"/>
                    <w:jc w:val="center"/>
                  </w:pPr>
                  <w:r>
                    <w:t xml:space="preserve">estimate</w:t>
                  </w:r>
                </w:p>
              </w:tc>
              <w:tc>
                <w:tcPr/>
                <w:p>
                  <w:pPr>
                    <w:pStyle w:val="Compact"/>
                    <w:jc w:val="left"/>
                    <w:jc w:val="center"/>
                  </w:pPr>
                  <w:r>
                    <w:t xml:space="preserve">SE</w:t>
                  </w:r>
                </w:p>
              </w:tc>
              <w:tc>
                <w:tcPr/>
                <w:p>
                  <w:pPr>
                    <w:pStyle w:val="Compact"/>
                    <w:jc w:val="left"/>
                    <w:jc w:val="center"/>
                  </w:pPr>
                  <w:r>
                    <w:t xml:space="preserve">df</w:t>
                  </w:r>
                </w:p>
              </w:tc>
              <w:tc>
                <w:tcPr/>
                <w:p>
                  <w:pPr>
                    <w:pStyle w:val="Compact"/>
                    <w:jc w:val="left"/>
                    <w:jc w:val="center"/>
                  </w:pPr>
                  <w:r>
                    <w:t xml:space="preserve">asymp.LCL</w:t>
                  </w:r>
                </w:p>
              </w:tc>
              <w:tc>
                <w:tcPr/>
                <w:p>
                  <w:pPr>
                    <w:pStyle w:val="Compact"/>
                    <w:jc w:val="left"/>
                    <w:jc w:val="center"/>
                  </w:pPr>
                  <w:r>
                    <w:t xml:space="preserve">asymp.UCL</w:t>
                  </w:r>
                </w:p>
              </w:tc>
            </w:tr>
            <w:tr>
              <w:tc>
                <w:tcPr/>
                <w:p>
                  <w:pPr>
                    <w:pStyle w:val="Compact"/>
                    <w:jc w:val="left"/>
                    <w:jc w:val="center"/>
                  </w:pPr>
                  <w:r>
                    <w:t xml:space="preserve">LIDE</w:t>
                  </w:r>
                </w:p>
              </w:tc>
              <w:tc>
                <w:tcPr/>
                <w:p>
                  <w:pPr>
                    <w:pStyle w:val="Compact"/>
                    <w:jc w:val="left"/>
                    <w:jc w:val="center"/>
                  </w:pPr>
                  <w:r>
                    <w:t xml:space="preserve">5</w:t>
                  </w:r>
                </w:p>
              </w:tc>
              <w:tc>
                <w:tcPr/>
                <w:p>
                  <w:pPr>
                    <w:pStyle w:val="Compact"/>
                    <w:jc w:val="left"/>
                    <w:jc w:val="center"/>
                  </w:pPr>
                  <w:r>
                    <w:t xml:space="preserve">0.39</w:t>
                  </w:r>
                </w:p>
              </w:tc>
              <w:tc>
                <w:tcPr/>
                <w:p>
                  <w:pPr>
                    <w:pStyle w:val="Compact"/>
                    <w:jc w:val="left"/>
                    <w:jc w:val="center"/>
                  </w:pPr>
                  <w:r>
                    <w:t xml:space="preserve">0.017</w:t>
                  </w:r>
                </w:p>
              </w:tc>
              <w:tc>
                <w:tcPr/>
                <w:p>
                  <w:pPr>
                    <w:pStyle w:val="Compact"/>
                    <w:jc w:val="left"/>
                    <w:jc w:val="center"/>
                  </w:pPr>
                  <w:r>
                    <w:t xml:space="preserve">Inf</w:t>
                  </w:r>
                </w:p>
              </w:tc>
              <w:tc>
                <w:tcPr/>
                <w:p>
                  <w:pPr>
                    <w:pStyle w:val="Compact"/>
                    <w:jc w:val="left"/>
                    <w:jc w:val="center"/>
                  </w:pPr>
                  <w:r>
                    <w:t xml:space="preserve">0.35</w:t>
                  </w:r>
                </w:p>
              </w:tc>
              <w:tc>
                <w:tcPr/>
                <w:p>
                  <w:pPr>
                    <w:pStyle w:val="Compact"/>
                    <w:jc w:val="left"/>
                    <w:jc w:val="center"/>
                  </w:pPr>
                  <w:r>
                    <w:t xml:space="preserve">0.42</w:t>
                  </w:r>
                </w:p>
              </w:tc>
            </w:tr>
            <w:tr>
              <w:tc>
                <w:tcPr/>
                <w:p>
                  <w:pPr>
                    <w:pStyle w:val="Compact"/>
                    <w:jc w:val="left"/>
                    <w:jc w:val="center"/>
                  </w:pPr>
                  <w:r>
                    <w:t xml:space="preserve">LIDE</w:t>
                  </w:r>
                </w:p>
              </w:tc>
              <w:tc>
                <w:tcPr/>
                <w:p>
                  <w:pPr>
                    <w:pStyle w:val="Compact"/>
                    <w:jc w:val="left"/>
                    <w:jc w:val="center"/>
                  </w:pPr>
                  <w:r>
                    <w:t xml:space="preserve">10</w:t>
                  </w:r>
                </w:p>
              </w:tc>
              <w:tc>
                <w:tcPr/>
                <w:p>
                  <w:pPr>
                    <w:pStyle w:val="Compact"/>
                    <w:jc w:val="left"/>
                    <w:jc w:val="center"/>
                  </w:pPr>
                  <w:r>
                    <w:t xml:space="preserve">0.35</w:t>
                  </w:r>
                </w:p>
              </w:tc>
              <w:tc>
                <w:tcPr/>
                <w:p>
                  <w:pPr>
                    <w:pStyle w:val="Compact"/>
                    <w:jc w:val="left"/>
                    <w:jc w:val="center"/>
                  </w:pPr>
                  <w:r>
                    <w:t xml:space="preserve">0.017</w:t>
                  </w:r>
                </w:p>
              </w:tc>
              <w:tc>
                <w:tcPr/>
                <w:p>
                  <w:pPr>
                    <w:pStyle w:val="Compact"/>
                    <w:jc w:val="left"/>
                    <w:jc w:val="center"/>
                  </w:pPr>
                  <w:r>
                    <w:t xml:space="preserve">Inf</w:t>
                  </w:r>
                </w:p>
              </w:tc>
              <w:tc>
                <w:tcPr/>
                <w:p>
                  <w:pPr>
                    <w:pStyle w:val="Compact"/>
                    <w:jc w:val="left"/>
                    <w:jc w:val="center"/>
                  </w:pPr>
                  <w:r>
                    <w:t xml:space="preserve">0.31</w:t>
                  </w:r>
                </w:p>
              </w:tc>
              <w:tc>
                <w:tcPr/>
                <w:p>
                  <w:pPr>
                    <w:pStyle w:val="Compact"/>
                    <w:jc w:val="left"/>
                    <w:jc w:val="center"/>
                  </w:pPr>
                  <w:r>
                    <w:t xml:space="preserve">0.38</w:t>
                  </w:r>
                </w:p>
              </w:tc>
            </w:tr>
            <w:tr>
              <w:tc>
                <w:tcPr/>
                <w:p>
                  <w:pPr>
                    <w:pStyle w:val="Compact"/>
                    <w:jc w:val="left"/>
                    <w:jc w:val="center"/>
                  </w:pPr>
                  <w:r>
                    <w:t xml:space="preserve">SESE</w:t>
                  </w:r>
                </w:p>
              </w:tc>
              <w:tc>
                <w:tcPr/>
                <w:p>
                  <w:pPr>
                    <w:pStyle w:val="Compact"/>
                    <w:jc w:val="left"/>
                    <w:jc w:val="center"/>
                  </w:pPr>
                  <w:r>
                    <w:t xml:space="preserve">5</w:t>
                  </w:r>
                </w:p>
              </w:tc>
              <w:tc>
                <w:tcPr/>
                <w:p>
                  <w:pPr>
                    <w:pStyle w:val="Compact"/>
                    <w:jc w:val="left"/>
                    <w:jc w:val="center"/>
                  </w:pPr>
                  <w:r>
                    <w:t xml:space="preserve">0.8</w:t>
                  </w:r>
                </w:p>
              </w:tc>
              <w:tc>
                <w:tcPr/>
                <w:p>
                  <w:pPr>
                    <w:pStyle w:val="Compact"/>
                    <w:jc w:val="left"/>
                    <w:jc w:val="center"/>
                  </w:pPr>
                  <w:r>
                    <w:t xml:space="preserve">0.043</w:t>
                  </w:r>
                </w:p>
              </w:tc>
              <w:tc>
                <w:tcPr/>
                <w:p>
                  <w:pPr>
                    <w:pStyle w:val="Compact"/>
                    <w:jc w:val="left"/>
                    <w:jc w:val="center"/>
                  </w:pPr>
                  <w:r>
                    <w:t xml:space="preserve">Inf</w:t>
                  </w:r>
                </w:p>
              </w:tc>
              <w:tc>
                <w:tcPr/>
                <w:p>
                  <w:pPr>
                    <w:pStyle w:val="Compact"/>
                    <w:jc w:val="left"/>
                    <w:jc w:val="center"/>
                  </w:pPr>
                  <w:r>
                    <w:t xml:space="preserve">0.72</w:t>
                  </w:r>
                </w:p>
              </w:tc>
              <w:tc>
                <w:tcPr/>
                <w:p>
                  <w:pPr>
                    <w:pStyle w:val="Compact"/>
                    <w:jc w:val="left"/>
                    <w:jc w:val="center"/>
                  </w:pPr>
                  <w:r>
                    <w:t xml:space="preserve">0.89</w:t>
                  </w:r>
                </w:p>
              </w:tc>
            </w:tr>
            <w:tr>
              <w:tc>
                <w:tcPr/>
                <w:p>
                  <w:pPr>
                    <w:pStyle w:val="Compact"/>
                    <w:jc w:val="left"/>
                    <w:jc w:val="center"/>
                  </w:pPr>
                  <w:r>
                    <w:t xml:space="preserve">SESE</w:t>
                  </w:r>
                </w:p>
              </w:tc>
              <w:tc>
                <w:tcPr/>
                <w:p>
                  <w:pPr>
                    <w:pStyle w:val="Compact"/>
                    <w:jc w:val="left"/>
                    <w:jc w:val="center"/>
                  </w:pPr>
                  <w:r>
                    <w:t xml:space="preserve">10</w:t>
                  </w:r>
                </w:p>
              </w:tc>
              <w:tc>
                <w:tcPr/>
                <w:p>
                  <w:pPr>
                    <w:pStyle w:val="Compact"/>
                    <w:jc w:val="left"/>
                    <w:jc w:val="center"/>
                  </w:pPr>
                  <w:r>
                    <w:t xml:space="preserve">0.67</w:t>
                  </w:r>
                </w:p>
              </w:tc>
              <w:tc>
                <w:tcPr/>
                <w:p>
                  <w:pPr>
                    <w:pStyle w:val="Compact"/>
                    <w:jc w:val="left"/>
                    <w:jc w:val="center"/>
                  </w:pPr>
                  <w:r>
                    <w:t xml:space="preserve">0.043</w:t>
                  </w:r>
                </w:p>
              </w:tc>
              <w:tc>
                <w:tcPr/>
                <w:p>
                  <w:pPr>
                    <w:pStyle w:val="Compact"/>
                    <w:jc w:val="left"/>
                    <w:jc w:val="center"/>
                  </w:pPr>
                  <w:r>
                    <w:t xml:space="preserve">Inf</w:t>
                  </w:r>
                </w:p>
              </w:tc>
              <w:tc>
                <w:tcPr/>
                <w:p>
                  <w:pPr>
                    <w:pStyle w:val="Compact"/>
                    <w:jc w:val="left"/>
                    <w:jc w:val="center"/>
                  </w:pPr>
                  <w:r>
                    <w:t xml:space="preserve">0.59</w:t>
                  </w:r>
                </w:p>
              </w:tc>
              <w:tc>
                <w:tcPr/>
                <w:p>
                  <w:pPr>
                    <w:pStyle w:val="Compact"/>
                    <w:jc w:val="left"/>
                    <w:jc w:val="center"/>
                  </w:pPr>
                  <w:r>
                    <w:t xml:space="preserve">0.75</w:t>
                  </w:r>
                </w:p>
              </w:tc>
            </w:tr>
          </w:tbl>
          <w:bookmarkEnd w:id="85"/>
          <w:p/>
        </w:tc>
      </w:tr>
    </w:tbl>
    <w:bookmarkEnd w:id="86"/>
    <w:bookmarkStart w:id="94" w:name="height-at-year-10"/>
    <w:p>
      <w:pPr>
        <w:pStyle w:val="Heading3"/>
      </w:pPr>
      <w:r>
        <w:t xml:space="preserve">3.2.2 Height at year 10</w:t>
      </w:r>
    </w:p>
    <w:p>
      <w:pPr>
        <w:pStyle w:val="FirstParagraph"/>
      </w:pPr>
      <w:r>
        <w:t xml:space="preserve">Sprout heights at year 10 were modeled with a normal response and a log link.</w:t>
      </w:r>
      <w:r>
        <w:t xml:space="preserve"> </w:t>
      </w:r>
      <w:r>
        <w:t xml:space="preserve">The best model included species and treatment, but no interactions in the fixed</w:t>
      </w:r>
      <w:r>
        <w:t xml:space="preserve"> </w:t>
      </w:r>
      <w:r>
        <w:t xml:space="preserve">effects. This suggests that treatments do not affect species differentially in</w:t>
      </w:r>
      <w:r>
        <w:t xml:space="preserve"> </w:t>
      </w:r>
      <w:r>
        <w:t xml:space="preserve">terms of the mean response (height at year 10). It also included a model for</w:t>
      </w:r>
      <w:r>
        <w:t xml:space="preserve"> </w:t>
      </w:r>
      <w:r>
        <w:t xml:space="preserve">dispersion (log link) with predictors species, treatment, and their interaction</w:t>
      </w:r>
      <w:r>
        <w:t xml:space="preserve"> </w:t>
      </w:r>
      <w:r>
        <w:t xml:space="preserve">(</w:t>
      </w:r>
      <w:hyperlink w:anchor="lst-sprout-ht-yr-10">
        <w:r>
          <w:rPr>
            <w:rStyle w:val="Hyperlink"/>
          </w:rPr>
          <w:t xml:space="preserve">Listing 3.4</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87" w:name="lst-sprout-ht-yr-10"/>
          <w:p>
            <w:pPr>
              <w:jc w:val="center"/>
            </w:pPr>
            <w:pPr>
              <w:jc w:val="start"/>
              <w:spacing w:before="200"/>
              <w:pStyle w:val="ImageCaption"/>
            </w:pPr>
            <w:r>
              <w:t xml:space="preserve">Listing 3.4</w:t>
            </w:r>
          </w:p>
          <w:p>
            <w:pPr>
              <w:pStyle w:val="SourceCode"/>
              <w:jc w:val="center"/>
            </w:pPr>
            <w:r>
              <w:rPr>
                <w:rStyle w:val="VerbatimChar"/>
              </w:rPr>
              <w:t xml:space="preserve">Family: gaussian (log) </w:t>
            </w:r>
            <w:r>
              <w:br/>
            </w:r>
            <w:r>
              <w:rPr>
                <w:rStyle w:val="VerbatimChar"/>
              </w:rPr>
              <w:t xml:space="preserve">Conditional: ht ~ treat + spp + (0 + spp | plot)  </w:t>
            </w:r>
            <w:r>
              <w:br/>
            </w:r>
            <w:r>
              <w:rPr>
                <w:rStyle w:val="VerbatimChar"/>
              </w:rPr>
              <w:t xml:space="preserve">Dispersion: ~spp * treat (log) </w:t>
            </w:r>
          </w:p>
          <w:bookmarkEnd w:id="87"/>
        </w:tc>
      </w:tr>
    </w:tbl>
    <w:p>
      <w:pPr>
        <w:pStyle w:val="SourceCode"/>
      </w:pPr>
      <w:r>
        <w:rPr>
          <w:rStyle w:val="VerbatimChar"/>
        </w:rPr>
        <w:t xml:space="preserve">Adding missing grouping variables: `spp`</w:t>
      </w:r>
      <w:r>
        <w:br/>
      </w:r>
      <w:r>
        <w:rPr>
          <w:rStyle w:val="VerbatimChar"/>
        </w:rPr>
        <w:t xml:space="preserve">Adding missing grouping variables: `spp`</w:t>
      </w:r>
    </w:p>
    <w:p>
      <w:pPr>
        <w:pStyle w:val="FirstParagraph"/>
      </w:pPr>
      <w:r>
        <w:t xml:space="preserve">Because the best model did not contain a species x treatment interaction for the</w:t>
      </w:r>
      <w:r>
        <w:t xml:space="preserve"> </w:t>
      </w:r>
      <w:r>
        <w:t xml:space="preserve">mean response, treatment comparisons are parallel between species. The GS</w:t>
      </w:r>
      <w:r>
        <w:t xml:space="preserve"> </w:t>
      </w:r>
      <w:r>
        <w:t xml:space="preserve">treatment resulted in greater heights in year 10 than the other treatments</w:t>
      </w:r>
      <w:r>
        <w:t xml:space="preserve"> </w:t>
      </w:r>
      <w:r>
        <w:t xml:space="preserve">(0.001 &lt; p &lt; 0.05). Predicted mean height for redwood ranged from</w:t>
      </w:r>
      <w:r>
        <w:t xml:space="preserve"> </w:t>
      </w:r>
      <w:r>
        <w:t xml:space="preserve">10.64 m in the GS treatment to</w:t>
      </w:r>
      <w:r>
        <w:t xml:space="preserve"> </w:t>
      </w:r>
      <w:r>
        <w:t xml:space="preserve">6.3 m in the HD treatment. For tanoak, predicted mean height</w:t>
      </w:r>
      <w:r>
        <w:t xml:space="preserve"> </w:t>
      </w:r>
      <w:r>
        <w:t xml:space="preserve">ranged from 5.2 in the GS treatment to</w:t>
      </w:r>
      <w:r>
        <w:t xml:space="preserve"> </w:t>
      </w:r>
      <w:r>
        <w:t xml:space="preserve">3.08 in the HD treatment. Predicted mean</w:t>
      </w:r>
      <w:r>
        <w:t xml:space="preserve"> </w:t>
      </w:r>
      <w:r>
        <w:t xml:space="preserve">heights followed the pattern GS &gt; LD &gt; HA &gt; HD (</w:t>
      </w:r>
      <w:hyperlink w:anchor="fig-sprout-ht-yr-10">
        <w:r>
          <w:rPr>
            <w:rStyle w:val="Hyperlink"/>
          </w:rPr>
          <w:t xml:space="preserve">Figure 3.6</w:t>
        </w:r>
      </w:hyperlink>
      <w:r>
        <w:t xml:space="preserve">).</w:t>
      </w:r>
    </w:p>
    <w:p>
      <w:pPr>
        <w:pStyle w:val="SourceCode"/>
      </w:pPr>
      <w:r>
        <w:rPr>
          <w:rStyle w:val="VerbatimChar"/>
        </w:rPr>
        <w:t xml:space="preserve">Adding missing grouping variables: `spp`</w:t>
      </w:r>
    </w:p>
    <w:tbl>
      <w:tblPr>
        <w:tblStyle w:val="Table"/>
        <w:tblW w:type="pct" w:w="5000"/>
        <w:tblLook w:firstRow="0" w:lastRow="0" w:firstColumn="0" w:lastColumn="0" w:noHBand="0" w:noVBand="0" w:val="0000"/>
        <w:jc w:val="start"/>
        <w:tblLayout w:type="fixed"/>
      </w:tblPr>
      <w:tblGrid>
        <w:gridCol w:w="7920"/>
      </w:tblGrid>
      <w:tr>
        <w:tc>
          <w:tcPr/>
          <w:bookmarkStart w:id="91" w:name="fig-sprout-ht-yr-10"/>
          <w:p>
            <w:pPr>
              <w:pStyle w:val="Compact"/>
              <w:jc w:val="center"/>
            </w:pPr>
            <w:r>
              <w:drawing>
                <wp:inline>
                  <wp:extent cx="4620126" cy="3696101"/>
                  <wp:effectExtent b="0" l="0" r="0" t="0"/>
                  <wp:docPr descr="" title="" id="89" name="Picture"/>
                  <a:graphic>
                    <a:graphicData uri="http://schemas.openxmlformats.org/drawingml/2006/picture">
                      <pic:pic>
                        <pic:nvPicPr>
                          <pic:cNvPr descr="thesis/results_files/figure-docx/fig-sprout-ht-yr-10-1.png" id="90" name="Picture"/>
                          <pic:cNvPicPr>
                            <a:picLocks noChangeArrowheads="1" noChangeAspect="1"/>
                          </pic:cNvPicPr>
                        </pic:nvPicPr>
                        <pic:blipFill>
                          <a:blip r:embed="rId88"/>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3.6: Predicted mean height and 95% confidence intervals (gray bars) for redwood and tanoak stump sprouts 10 years after harvest using four different harvest treatments. Non-overlapping blue arrows indicate statistically significant differences between treatments within a species.</w:t>
            </w:r>
          </w:p>
          <w:bookmarkEnd w:id="91"/>
        </w:tc>
      </w:tr>
    </w:tbl>
    <w:p>
      <w:pPr>
        <w:pStyle w:val="SourceCode"/>
      </w:pPr>
      <w:r>
        <w:rPr>
          <w:rStyle w:val="VerbatimChar"/>
        </w:rPr>
        <w:t xml:space="preserve">Adding missing grouping variables: `spp`</w:t>
      </w:r>
    </w:p>
    <w:tbl>
      <w:tblPr>
        <w:tblStyle w:val="Table"/>
        <w:tblW w:type="pct" w:w="5000"/>
        <w:tblLook w:firstRow="0" w:lastRow="0" w:firstColumn="0" w:lastColumn="0" w:noHBand="0" w:noVBand="0" w:val="0000"/>
        <w:jc w:val="start"/>
        <w:tblLayout w:type="fixed"/>
      </w:tblPr>
      <w:tblGrid>
        <w:gridCol w:w="7920"/>
      </w:tblGrid>
      <w:tr>
        <w:tc>
          <w:tcPr/>
          <w:bookmarkStart w:id="92" w:name="tbl-ht-year-10"/>
          <w:p>
            <w:pPr>
              <w:jc w:val="center"/>
            </w:pPr>
            <w:pPr>
              <w:jc w:val="start"/>
              <w:spacing w:before="200"/>
              <w:pStyle w:val="ImageCaption"/>
            </w:pPr>
            <w:r>
              <w:t xml:space="preserve">Table 3.7: Height (m) of measured redwood and tanaok sprouts 10 years after harvest treatments with four different over-story densities.</w:t>
            </w:r>
          </w:p>
          <w:tbl>
            <w:tblPr>
              <w:tblStyle w:val="Table"/>
              <w:tblW w:type="pct" w:w="4306"/>
              <w:tblLook w:firstRow="1" w:lastRow="0" w:firstColumn="0" w:lastColumn="0" w:noHBand="0" w:noVBand="0" w:val="0020"/>
              <w:jc w:val="start"/>
              <w:tblLayout w:type="fixed"/>
            </w:tblPr>
            <w:tblGrid>
              <w:gridCol w:w="770"/>
              <w:gridCol w:w="770"/>
              <w:gridCol w:w="1210"/>
              <w:gridCol w:w="770"/>
              <w:gridCol w:w="660"/>
              <w:gridCol w:w="1320"/>
              <w:gridCol w:w="1320"/>
            </w:tblGrid>
            <w:tr>
              <w:trPr>
                <w:tblHeader w:val="true"/>
              </w:trPr>
              <w:tc>
                <w:tcPr/>
                <w:p>
                  <w:pPr>
                    <w:pStyle w:val="Compact"/>
                    <w:jc w:val="left"/>
                    <w:jc w:val="center"/>
                  </w:pPr>
                  <w:r>
                    <w:t xml:space="preserve">spp</w:t>
                  </w:r>
                </w:p>
              </w:tc>
              <w:tc>
                <w:tcPr/>
                <w:p>
                  <w:pPr>
                    <w:pStyle w:val="Compact"/>
                    <w:jc w:val="left"/>
                    <w:jc w:val="center"/>
                  </w:pPr>
                  <w:r>
                    <w:t xml:space="preserve">year</w:t>
                  </w:r>
                </w:p>
              </w:tc>
              <w:tc>
                <w:tcPr/>
                <w:p>
                  <w:pPr>
                    <w:pStyle w:val="Compact"/>
                    <w:jc w:val="left"/>
                    <w:jc w:val="center"/>
                  </w:pPr>
                  <w:r>
                    <w:t xml:space="preserve">estimate</w:t>
                  </w:r>
                </w:p>
              </w:tc>
              <w:tc>
                <w:tcPr/>
                <w:p>
                  <w:pPr>
                    <w:pStyle w:val="Compact"/>
                    <w:jc w:val="left"/>
                    <w:jc w:val="center"/>
                  </w:pPr>
                  <w:r>
                    <w:t xml:space="preserve">SE</w:t>
                  </w:r>
                </w:p>
              </w:tc>
              <w:tc>
                <w:tcPr/>
                <w:p>
                  <w:pPr>
                    <w:pStyle w:val="Compact"/>
                    <w:jc w:val="left"/>
                    <w:jc w:val="center"/>
                  </w:pPr>
                  <w:r>
                    <w:t xml:space="preserve">df</w:t>
                  </w:r>
                </w:p>
              </w:tc>
              <w:tc>
                <w:tcPr/>
                <w:p>
                  <w:pPr>
                    <w:pStyle w:val="Compact"/>
                    <w:jc w:val="left"/>
                    <w:jc w:val="center"/>
                  </w:pPr>
                  <w:r>
                    <w:t xml:space="preserve">asymp.LCL</w:t>
                  </w:r>
                </w:p>
              </w:tc>
              <w:tc>
                <w:tcPr/>
                <w:p>
                  <w:pPr>
                    <w:pStyle w:val="Compact"/>
                    <w:jc w:val="left"/>
                    <w:jc w:val="center"/>
                  </w:pPr>
                  <w:r>
                    <w:t xml:space="preserve">asymp.UCL</w:t>
                  </w:r>
                </w:p>
              </w:tc>
            </w:tr>
            <w:tr>
              <w:tc>
                <w:tcPr/>
                <w:p>
                  <w:pPr>
                    <w:pStyle w:val="Compact"/>
                    <w:jc w:val="left"/>
                    <w:jc w:val="center"/>
                  </w:pPr>
                  <w:r>
                    <w:t xml:space="preserve">LIDE</w:t>
                  </w:r>
                </w:p>
              </w:tc>
              <w:tc>
                <w:tcPr/>
                <w:p>
                  <w:pPr>
                    <w:pStyle w:val="Compact"/>
                    <w:jc w:val="left"/>
                    <w:jc w:val="center"/>
                  </w:pPr>
                  <w:r>
                    <w:t xml:space="preserve">GS</w:t>
                  </w:r>
                </w:p>
              </w:tc>
              <w:tc>
                <w:tcPr/>
                <w:p>
                  <w:pPr>
                    <w:pStyle w:val="Compact"/>
                    <w:jc w:val="left"/>
                    <w:jc w:val="center"/>
                  </w:pPr>
                  <w:r>
                    <w:t xml:space="preserve">5.2</w:t>
                  </w:r>
                </w:p>
              </w:tc>
              <w:tc>
                <w:tcPr/>
                <w:p>
                  <w:pPr>
                    <w:pStyle w:val="Compact"/>
                    <w:jc w:val="left"/>
                    <w:jc w:val="center"/>
                  </w:pPr>
                  <w:r>
                    <w:t xml:space="preserve">0.41</w:t>
                  </w:r>
                </w:p>
              </w:tc>
              <w:tc>
                <w:tcPr/>
                <w:p>
                  <w:pPr>
                    <w:pStyle w:val="Compact"/>
                    <w:jc w:val="left"/>
                    <w:jc w:val="center"/>
                  </w:pPr>
                  <w:r>
                    <w:t xml:space="preserve">Inf</w:t>
                  </w:r>
                </w:p>
              </w:tc>
              <w:tc>
                <w:tcPr/>
                <w:p>
                  <w:pPr>
                    <w:pStyle w:val="Compact"/>
                    <w:jc w:val="left"/>
                    <w:jc w:val="center"/>
                  </w:pPr>
                  <w:r>
                    <w:t xml:space="preserve">4.4</w:t>
                  </w:r>
                </w:p>
              </w:tc>
              <w:tc>
                <w:tcPr/>
                <w:p>
                  <w:pPr>
                    <w:pStyle w:val="Compact"/>
                    <w:jc w:val="left"/>
                    <w:jc w:val="center"/>
                  </w:pPr>
                  <w:r>
                    <w:t xml:space="preserve">6</w:t>
                  </w:r>
                </w:p>
              </w:tc>
            </w:tr>
            <w:tr>
              <w:tc>
                <w:tcPr/>
                <w:p>
                  <w:pPr>
                    <w:pStyle w:val="Compact"/>
                    <w:jc w:val="left"/>
                    <w:jc w:val="center"/>
                  </w:pPr>
                  <w:r>
                    <w:t xml:space="preserve">LIDE</w:t>
                  </w:r>
                </w:p>
              </w:tc>
              <w:tc>
                <w:tcPr/>
                <w:p>
                  <w:pPr>
                    <w:pStyle w:val="Compact"/>
                    <w:jc w:val="left"/>
                    <w:jc w:val="center"/>
                  </w:pPr>
                  <w:r>
                    <w:t xml:space="preserve">LD</w:t>
                  </w:r>
                </w:p>
              </w:tc>
              <w:tc>
                <w:tcPr/>
                <w:p>
                  <w:pPr>
                    <w:pStyle w:val="Compact"/>
                    <w:jc w:val="left"/>
                    <w:jc w:val="center"/>
                  </w:pPr>
                  <w:r>
                    <w:t xml:space="preserve">3.9</w:t>
                  </w:r>
                </w:p>
              </w:tc>
              <w:tc>
                <w:tcPr/>
                <w:p>
                  <w:pPr>
                    <w:pStyle w:val="Compact"/>
                    <w:jc w:val="left"/>
                    <w:jc w:val="center"/>
                  </w:pPr>
                  <w:r>
                    <w:t xml:space="preserve">0.31</w:t>
                  </w:r>
                </w:p>
              </w:tc>
              <w:tc>
                <w:tcPr/>
                <w:p>
                  <w:pPr>
                    <w:pStyle w:val="Compact"/>
                    <w:jc w:val="left"/>
                    <w:jc w:val="center"/>
                  </w:pPr>
                  <w:r>
                    <w:t xml:space="preserve">Inf</w:t>
                  </w:r>
                </w:p>
              </w:tc>
              <w:tc>
                <w:tcPr/>
                <w:p>
                  <w:pPr>
                    <w:pStyle w:val="Compact"/>
                    <w:jc w:val="left"/>
                    <w:jc w:val="center"/>
                  </w:pPr>
                  <w:r>
                    <w:t xml:space="preserve">3.3</w:t>
                  </w:r>
                </w:p>
              </w:tc>
              <w:tc>
                <w:tcPr/>
                <w:p>
                  <w:pPr>
                    <w:pStyle w:val="Compact"/>
                    <w:jc w:val="left"/>
                    <w:jc w:val="center"/>
                  </w:pPr>
                  <w:r>
                    <w:t xml:space="preserve">4.5</w:t>
                  </w:r>
                </w:p>
              </w:tc>
            </w:tr>
            <w:tr>
              <w:tc>
                <w:tcPr/>
                <w:p>
                  <w:pPr>
                    <w:pStyle w:val="Compact"/>
                    <w:jc w:val="left"/>
                    <w:jc w:val="center"/>
                  </w:pPr>
                  <w:r>
                    <w:t xml:space="preserve">LIDE</w:t>
                  </w:r>
                </w:p>
              </w:tc>
              <w:tc>
                <w:tcPr/>
                <w:p>
                  <w:pPr>
                    <w:pStyle w:val="Compact"/>
                    <w:jc w:val="left"/>
                    <w:jc w:val="center"/>
                  </w:pPr>
                  <w:r>
                    <w:t xml:space="preserve">HA</w:t>
                  </w:r>
                </w:p>
              </w:tc>
              <w:tc>
                <w:tcPr/>
                <w:p>
                  <w:pPr>
                    <w:pStyle w:val="Compact"/>
                    <w:jc w:val="left"/>
                    <w:jc w:val="center"/>
                  </w:pPr>
                  <w:r>
                    <w:t xml:space="preserve">3.3</w:t>
                  </w:r>
                </w:p>
              </w:tc>
              <w:tc>
                <w:tcPr/>
                <w:p>
                  <w:pPr>
                    <w:pStyle w:val="Compact"/>
                    <w:jc w:val="left"/>
                    <w:jc w:val="center"/>
                  </w:pPr>
                  <w:r>
                    <w:t xml:space="preserve">0.27</w:t>
                  </w:r>
                </w:p>
              </w:tc>
              <w:tc>
                <w:tcPr/>
                <w:p>
                  <w:pPr>
                    <w:pStyle w:val="Compact"/>
                    <w:jc w:val="left"/>
                    <w:jc w:val="center"/>
                  </w:pPr>
                  <w:r>
                    <w:t xml:space="preserve">Inf</w:t>
                  </w:r>
                </w:p>
              </w:tc>
              <w:tc>
                <w:tcPr/>
                <w:p>
                  <w:pPr>
                    <w:pStyle w:val="Compact"/>
                    <w:jc w:val="left"/>
                    <w:jc w:val="center"/>
                  </w:pPr>
                  <w:r>
                    <w:t xml:space="preserve">2.8</w:t>
                  </w:r>
                </w:p>
              </w:tc>
              <w:tc>
                <w:tcPr/>
                <w:p>
                  <w:pPr>
                    <w:pStyle w:val="Compact"/>
                    <w:jc w:val="left"/>
                    <w:jc w:val="center"/>
                  </w:pPr>
                  <w:r>
                    <w:t xml:space="preserve">3.8</w:t>
                  </w:r>
                </w:p>
              </w:tc>
            </w:tr>
            <w:tr>
              <w:tc>
                <w:tcPr/>
                <w:p>
                  <w:pPr>
                    <w:pStyle w:val="Compact"/>
                    <w:jc w:val="left"/>
                    <w:jc w:val="center"/>
                  </w:pPr>
                  <w:r>
                    <w:t xml:space="preserve">LIDE</w:t>
                  </w:r>
                </w:p>
              </w:tc>
              <w:tc>
                <w:tcPr/>
                <w:p>
                  <w:pPr>
                    <w:pStyle w:val="Compact"/>
                    <w:jc w:val="left"/>
                    <w:jc w:val="center"/>
                  </w:pPr>
                  <w:r>
                    <w:t xml:space="preserve">HD</w:t>
                  </w:r>
                </w:p>
              </w:tc>
              <w:tc>
                <w:tcPr/>
                <w:p>
                  <w:pPr>
                    <w:pStyle w:val="Compact"/>
                    <w:jc w:val="left"/>
                    <w:jc w:val="center"/>
                  </w:pPr>
                  <w:r>
                    <w:t xml:space="preserve">3.1</w:t>
                  </w:r>
                </w:p>
              </w:tc>
              <w:tc>
                <w:tcPr/>
                <w:p>
                  <w:pPr>
                    <w:pStyle w:val="Compact"/>
                    <w:jc w:val="left"/>
                    <w:jc w:val="center"/>
                  </w:pPr>
                  <w:r>
                    <w:t xml:space="preserve">0.25</w:t>
                  </w:r>
                </w:p>
              </w:tc>
              <w:tc>
                <w:tcPr/>
                <w:p>
                  <w:pPr>
                    <w:pStyle w:val="Compact"/>
                    <w:jc w:val="left"/>
                    <w:jc w:val="center"/>
                  </w:pPr>
                  <w:r>
                    <w:t xml:space="preserve">Inf</w:t>
                  </w:r>
                </w:p>
              </w:tc>
              <w:tc>
                <w:tcPr/>
                <w:p>
                  <w:pPr>
                    <w:pStyle w:val="Compact"/>
                    <w:jc w:val="left"/>
                    <w:jc w:val="center"/>
                  </w:pPr>
                  <w:r>
                    <w:t xml:space="preserve">2.6</w:t>
                  </w:r>
                </w:p>
              </w:tc>
              <w:tc>
                <w:tcPr/>
                <w:p>
                  <w:pPr>
                    <w:pStyle w:val="Compact"/>
                    <w:jc w:val="left"/>
                    <w:jc w:val="center"/>
                  </w:pPr>
                  <w:r>
                    <w:t xml:space="preserve">3.6</w:t>
                  </w:r>
                </w:p>
              </w:tc>
            </w:tr>
            <w:tr>
              <w:tc>
                <w:tcPr/>
                <w:p>
                  <w:pPr>
                    <w:pStyle w:val="Compact"/>
                    <w:jc w:val="left"/>
                    <w:jc w:val="center"/>
                  </w:pPr>
                  <w:r>
                    <w:t xml:space="preserve">SESE</w:t>
                  </w:r>
                </w:p>
              </w:tc>
              <w:tc>
                <w:tcPr/>
                <w:p>
                  <w:pPr>
                    <w:pStyle w:val="Compact"/>
                    <w:jc w:val="left"/>
                    <w:jc w:val="center"/>
                  </w:pPr>
                  <w:r>
                    <w:t xml:space="preserve">GS</w:t>
                  </w:r>
                </w:p>
              </w:tc>
              <w:tc>
                <w:tcPr/>
                <w:p>
                  <w:pPr>
                    <w:pStyle w:val="Compact"/>
                    <w:jc w:val="left"/>
                    <w:jc w:val="center"/>
                  </w:pPr>
                  <w:r>
                    <w:t xml:space="preserve">10.6</w:t>
                  </w:r>
                </w:p>
              </w:tc>
              <w:tc>
                <w:tcPr/>
                <w:p>
                  <w:pPr>
                    <w:pStyle w:val="Compact"/>
                    <w:jc w:val="left"/>
                    <w:jc w:val="center"/>
                  </w:pPr>
                  <w:r>
                    <w:t xml:space="preserve">0.9</w:t>
                  </w:r>
                </w:p>
              </w:tc>
              <w:tc>
                <w:tcPr/>
                <w:p>
                  <w:pPr>
                    <w:pStyle w:val="Compact"/>
                    <w:jc w:val="left"/>
                    <w:jc w:val="center"/>
                  </w:pPr>
                  <w:r>
                    <w:t xml:space="preserve">Inf</w:t>
                  </w:r>
                </w:p>
              </w:tc>
              <w:tc>
                <w:tcPr/>
                <w:p>
                  <w:pPr>
                    <w:pStyle w:val="Compact"/>
                    <w:jc w:val="left"/>
                    <w:jc w:val="center"/>
                  </w:pPr>
                  <w:r>
                    <w:t xml:space="preserve">8.9</w:t>
                  </w:r>
                </w:p>
              </w:tc>
              <w:tc>
                <w:tcPr/>
                <w:p>
                  <w:pPr>
                    <w:pStyle w:val="Compact"/>
                    <w:jc w:val="left"/>
                    <w:jc w:val="center"/>
                  </w:pPr>
                  <w:r>
                    <w:t xml:space="preserve">12.4</w:t>
                  </w:r>
                </w:p>
              </w:tc>
            </w:tr>
            <w:tr>
              <w:tc>
                <w:tcPr/>
                <w:p>
                  <w:pPr>
                    <w:pStyle w:val="Compact"/>
                    <w:jc w:val="left"/>
                    <w:jc w:val="center"/>
                  </w:pPr>
                  <w:r>
                    <w:t xml:space="preserve">SESE</w:t>
                  </w:r>
                </w:p>
              </w:tc>
              <w:tc>
                <w:tcPr/>
                <w:p>
                  <w:pPr>
                    <w:pStyle w:val="Compact"/>
                    <w:jc w:val="left"/>
                    <w:jc w:val="center"/>
                  </w:pPr>
                  <w:r>
                    <w:t xml:space="preserve">LD</w:t>
                  </w:r>
                </w:p>
              </w:tc>
              <w:tc>
                <w:tcPr/>
                <w:p>
                  <w:pPr>
                    <w:pStyle w:val="Compact"/>
                    <w:jc w:val="left"/>
                    <w:jc w:val="center"/>
                  </w:pPr>
                  <w:r>
                    <w:t xml:space="preserve">8</w:t>
                  </w:r>
                </w:p>
              </w:tc>
              <w:tc>
                <w:tcPr/>
                <w:p>
                  <w:pPr>
                    <w:pStyle w:val="Compact"/>
                    <w:jc w:val="left"/>
                    <w:jc w:val="center"/>
                  </w:pPr>
                  <w:r>
                    <w:t xml:space="preserve">0.69</w:t>
                  </w:r>
                </w:p>
              </w:tc>
              <w:tc>
                <w:tcPr/>
                <w:p>
                  <w:pPr>
                    <w:pStyle w:val="Compact"/>
                    <w:jc w:val="left"/>
                    <w:jc w:val="center"/>
                  </w:pPr>
                  <w:r>
                    <w:t xml:space="preserve">Inf</w:t>
                  </w:r>
                </w:p>
              </w:tc>
              <w:tc>
                <w:tcPr/>
                <w:p>
                  <w:pPr>
                    <w:pStyle w:val="Compact"/>
                    <w:jc w:val="left"/>
                    <w:jc w:val="center"/>
                  </w:pPr>
                  <w:r>
                    <w:t xml:space="preserve">6.6</w:t>
                  </w:r>
                </w:p>
              </w:tc>
              <w:tc>
                <w:tcPr/>
                <w:p>
                  <w:pPr>
                    <w:pStyle w:val="Compact"/>
                    <w:jc w:val="left"/>
                    <w:jc w:val="center"/>
                  </w:pPr>
                  <w:r>
                    <w:t xml:space="preserve">9.3</w:t>
                  </w:r>
                </w:p>
              </w:tc>
            </w:tr>
            <w:tr>
              <w:tc>
                <w:tcPr/>
                <w:p>
                  <w:pPr>
                    <w:pStyle w:val="Compact"/>
                    <w:jc w:val="left"/>
                    <w:jc w:val="center"/>
                  </w:pPr>
                  <w:r>
                    <w:t xml:space="preserve">SESE</w:t>
                  </w:r>
                </w:p>
              </w:tc>
              <w:tc>
                <w:tcPr/>
                <w:p>
                  <w:pPr>
                    <w:pStyle w:val="Compact"/>
                    <w:jc w:val="left"/>
                    <w:jc w:val="center"/>
                  </w:pPr>
                  <w:r>
                    <w:t xml:space="preserve">HA</w:t>
                  </w:r>
                </w:p>
              </w:tc>
              <w:tc>
                <w:tcPr/>
                <w:p>
                  <w:pPr>
                    <w:pStyle w:val="Compact"/>
                    <w:jc w:val="left"/>
                    <w:jc w:val="center"/>
                  </w:pPr>
                  <w:r>
                    <w:t xml:space="preserve">6.7</w:t>
                  </w:r>
                </w:p>
              </w:tc>
              <w:tc>
                <w:tcPr/>
                <w:p>
                  <w:pPr>
                    <w:pStyle w:val="Compact"/>
                    <w:jc w:val="left"/>
                    <w:jc w:val="center"/>
                  </w:pPr>
                  <w:r>
                    <w:t xml:space="preserve">0.59</w:t>
                  </w:r>
                </w:p>
              </w:tc>
              <w:tc>
                <w:tcPr/>
                <w:p>
                  <w:pPr>
                    <w:pStyle w:val="Compact"/>
                    <w:jc w:val="left"/>
                    <w:jc w:val="center"/>
                  </w:pPr>
                  <w:r>
                    <w:t xml:space="preserve">Inf</w:t>
                  </w:r>
                </w:p>
              </w:tc>
              <w:tc>
                <w:tcPr/>
                <w:p>
                  <w:pPr>
                    <w:pStyle w:val="Compact"/>
                    <w:jc w:val="left"/>
                    <w:jc w:val="center"/>
                  </w:pPr>
                  <w:r>
                    <w:t xml:space="preserve">5.5</w:t>
                  </w:r>
                </w:p>
              </w:tc>
              <w:tc>
                <w:tcPr/>
                <w:p>
                  <w:pPr>
                    <w:pStyle w:val="Compact"/>
                    <w:jc w:val="left"/>
                    <w:jc w:val="center"/>
                  </w:pPr>
                  <w:r>
                    <w:t xml:space="preserve">7.8</w:t>
                  </w:r>
                </w:p>
              </w:tc>
            </w:tr>
            <w:tr>
              <w:tc>
                <w:tcPr/>
                <w:p>
                  <w:pPr>
                    <w:pStyle w:val="Compact"/>
                    <w:jc w:val="left"/>
                    <w:jc w:val="center"/>
                  </w:pPr>
                  <w:r>
                    <w:t xml:space="preserve">SESE</w:t>
                  </w:r>
                </w:p>
              </w:tc>
              <w:tc>
                <w:tcPr/>
                <w:p>
                  <w:pPr>
                    <w:pStyle w:val="Compact"/>
                    <w:jc w:val="left"/>
                    <w:jc w:val="center"/>
                  </w:pPr>
                  <w:r>
                    <w:t xml:space="preserve">HD</w:t>
                  </w:r>
                </w:p>
              </w:tc>
              <w:tc>
                <w:tcPr/>
                <w:p>
                  <w:pPr>
                    <w:pStyle w:val="Compact"/>
                    <w:jc w:val="left"/>
                    <w:jc w:val="center"/>
                  </w:pPr>
                  <w:r>
                    <w:t xml:space="preserve">6.3</w:t>
                  </w:r>
                </w:p>
              </w:tc>
              <w:tc>
                <w:tcPr/>
                <w:p>
                  <w:pPr>
                    <w:pStyle w:val="Compact"/>
                    <w:jc w:val="left"/>
                    <w:jc w:val="center"/>
                  </w:pPr>
                  <w:r>
                    <w:t xml:space="preserve">0.55</w:t>
                  </w:r>
                </w:p>
              </w:tc>
              <w:tc>
                <w:tcPr/>
                <w:p>
                  <w:pPr>
                    <w:pStyle w:val="Compact"/>
                    <w:jc w:val="left"/>
                    <w:jc w:val="center"/>
                  </w:pPr>
                  <w:r>
                    <w:t xml:space="preserve">Inf</w:t>
                  </w:r>
                </w:p>
              </w:tc>
              <w:tc>
                <w:tcPr/>
                <w:p>
                  <w:pPr>
                    <w:pStyle w:val="Compact"/>
                    <w:jc w:val="left"/>
                    <w:jc w:val="center"/>
                  </w:pPr>
                  <w:r>
                    <w:t xml:space="preserve">5.2</w:t>
                  </w:r>
                </w:p>
              </w:tc>
              <w:tc>
                <w:tcPr/>
                <w:p>
                  <w:pPr>
                    <w:pStyle w:val="Compact"/>
                    <w:jc w:val="left"/>
                    <w:jc w:val="center"/>
                  </w:pPr>
                  <w:r>
                    <w:t xml:space="preserve">7.4</w:t>
                  </w:r>
                </w:p>
              </w:tc>
            </w:tr>
          </w:tbl>
          <w:bookmarkEnd w:id="92"/>
          <w:p/>
        </w:tc>
      </w:tr>
    </w:tbl>
    <w:p>
      <w:pPr>
        <w:pStyle w:val="BodyText"/>
      </w:pPr>
      <w:r>
        <w:t xml:space="preserve"> </w:t>
      </w:r>
    </w:p>
    <w:p>
      <w:pPr>
        <w:pStyle w:val="SourceCode"/>
      </w:pPr>
      <w:r>
        <w:rPr>
          <w:rStyle w:val="VerbatimChar"/>
        </w:rPr>
        <w:t xml:space="preserve">Adding missing grouping variables: `spp`</w:t>
      </w:r>
    </w:p>
    <w:tbl>
      <w:tblPr>
        <w:tblStyle w:val="Table"/>
        <w:tblW w:type="pct" w:w="5000"/>
        <w:tblLook w:firstRow="0" w:lastRow="0" w:firstColumn="0" w:lastColumn="0" w:noHBand="0" w:noVBand="0" w:val="0000"/>
        <w:jc w:val="start"/>
        <w:tblLayout w:type="fixed"/>
      </w:tblPr>
      <w:tblGrid>
        <w:gridCol w:w="7920"/>
      </w:tblGrid>
      <w:tr>
        <w:tc>
          <w:tcPr/>
          <w:bookmarkStart w:id="93" w:name="tbl-ht-year-10-compare"/>
          <w:p>
            <w:pPr>
              <w:jc w:val="center"/>
            </w:pPr>
            <w:pPr>
              <w:jc w:val="start"/>
              <w:spacing w:before="200"/>
              <w:pStyle w:val="ImageCaption"/>
            </w:pPr>
            <w:r>
              <w:t xml:space="preserve">Table 3.8: Pairwise comparisons of treatments within species for height (m) of measured redwood and tanoak sprouts 10 years after harvest.</w:t>
            </w:r>
          </w:p>
          <w:tbl>
            <w:tblPr>
              <w:tblStyle w:val="Table"/>
              <w:tblW w:type="pct" w:w="3611"/>
              <w:tblLook w:firstRow="1" w:lastRow="0" w:firstColumn="0" w:lastColumn="0" w:noHBand="0" w:noVBand="0" w:val="0020"/>
              <w:jc w:val="start"/>
              <w:tblLayout w:type="fixed"/>
            </w:tblPr>
            <w:tblGrid>
              <w:gridCol w:w="770"/>
              <w:gridCol w:w="1210"/>
              <w:gridCol w:w="1210"/>
              <w:gridCol w:w="770"/>
              <w:gridCol w:w="660"/>
              <w:gridCol w:w="1100"/>
            </w:tblGrid>
            <w:tr>
              <w:trPr>
                <w:tblHeader w:val="true"/>
              </w:trPr>
              <w:tc>
                <w:tcPr/>
                <w:p>
                  <w:pPr>
                    <w:pStyle w:val="Compact"/>
                    <w:jc w:val="left"/>
                    <w:jc w:val="center"/>
                  </w:pPr>
                  <w:r>
                    <w:t xml:space="preserve">spp</w:t>
                  </w:r>
                </w:p>
              </w:tc>
              <w:tc>
                <w:tcPr/>
                <w:p>
                  <w:pPr>
                    <w:pStyle w:val="Compact"/>
                    <w:jc w:val="left"/>
                    <w:jc w:val="center"/>
                  </w:pPr>
                  <w:r>
                    <w:t xml:space="preserve">contrast</w:t>
                  </w:r>
                </w:p>
              </w:tc>
              <w:tc>
                <w:tcPr/>
                <w:p>
                  <w:pPr>
                    <w:pStyle w:val="Compact"/>
                    <w:jc w:val="left"/>
                    <w:jc w:val="center"/>
                  </w:pPr>
                  <w:r>
                    <w:t xml:space="preserve">estimate</w:t>
                  </w:r>
                </w:p>
              </w:tc>
              <w:tc>
                <w:tcPr/>
                <w:p>
                  <w:pPr>
                    <w:pStyle w:val="Compact"/>
                    <w:jc w:val="left"/>
                    <w:jc w:val="center"/>
                  </w:pPr>
                  <w:r>
                    <w:t xml:space="preserve">SE</w:t>
                  </w:r>
                </w:p>
              </w:tc>
              <w:tc>
                <w:tcPr/>
                <w:p>
                  <w:pPr>
                    <w:pStyle w:val="Compact"/>
                    <w:jc w:val="left"/>
                    <w:jc w:val="center"/>
                  </w:pPr>
                  <w:r>
                    <w:t xml:space="preserve">df</w:t>
                  </w:r>
                </w:p>
              </w:tc>
              <w:tc>
                <w:tcPr/>
                <w:p>
                  <w:pPr>
                    <w:pStyle w:val="Compact"/>
                    <w:jc w:val="left"/>
                    <w:jc w:val="center"/>
                  </w:pPr>
                  <w:r>
                    <w:t xml:space="preserve">p.value</w:t>
                  </w:r>
                </w:p>
              </w:tc>
            </w:tr>
            <w:tr>
              <w:tc>
                <w:tcPr/>
                <w:p>
                  <w:pPr>
                    <w:pStyle w:val="Compact"/>
                    <w:jc w:val="left"/>
                    <w:jc w:val="center"/>
                  </w:pPr>
                  <w:r>
                    <w:t xml:space="preserve">LIDE</w:t>
                  </w:r>
                </w:p>
              </w:tc>
              <w:tc>
                <w:tcPr/>
                <w:p>
                  <w:pPr>
                    <w:pStyle w:val="Compact"/>
                    <w:jc w:val="left"/>
                    <w:jc w:val="center"/>
                  </w:pPr>
                  <w:r>
                    <w:t xml:space="preserve">GS - LD</w:t>
                  </w:r>
                </w:p>
              </w:tc>
              <w:tc>
                <w:tcPr/>
                <w:p>
                  <w:pPr>
                    <w:pStyle w:val="Compact"/>
                    <w:jc w:val="left"/>
                    <w:jc w:val="center"/>
                  </w:pPr>
                  <w:r>
                    <w:t xml:space="preserve">1.3</w:t>
                  </w:r>
                </w:p>
              </w:tc>
              <w:tc>
                <w:tcPr/>
                <w:p>
                  <w:pPr>
                    <w:pStyle w:val="Compact"/>
                    <w:jc w:val="left"/>
                    <w:jc w:val="center"/>
                  </w:pPr>
                  <w:r>
                    <w:t xml:space="preserve">0.5</w:t>
                  </w:r>
                </w:p>
              </w:tc>
              <w:tc>
                <w:tcPr/>
                <w:p>
                  <w:pPr>
                    <w:pStyle w:val="Compact"/>
                    <w:jc w:val="left"/>
                    <w:jc w:val="center"/>
                  </w:pPr>
                  <w:r>
                    <w:t xml:space="preserve">Inf</w:t>
                  </w:r>
                </w:p>
              </w:tc>
              <w:tc>
                <w:tcPr/>
                <w:p>
                  <w:pPr>
                    <w:pStyle w:val="Compact"/>
                    <w:jc w:val="left"/>
                    <w:jc w:val="center"/>
                  </w:pPr>
                  <w:r>
                    <w:t xml:space="preserve">0.05</w:t>
                  </w:r>
                </w:p>
              </w:tc>
            </w:tr>
            <w:tr>
              <w:tc>
                <w:tcPr/>
                <w:p>
                  <w:pPr>
                    <w:pStyle w:val="Compact"/>
                    <w:jc w:val="left"/>
                    <w:jc w:val="center"/>
                  </w:pPr>
                  <w:r>
                    <w:t xml:space="preserve">LIDE</w:t>
                  </w:r>
                </w:p>
              </w:tc>
              <w:tc>
                <w:tcPr/>
                <w:p>
                  <w:pPr>
                    <w:pStyle w:val="Compact"/>
                    <w:jc w:val="left"/>
                    <w:jc w:val="center"/>
                  </w:pPr>
                  <w:r>
                    <w:t xml:space="preserve">GS - HA</w:t>
                  </w:r>
                </w:p>
              </w:tc>
              <w:tc>
                <w:tcPr/>
                <w:p>
                  <w:pPr>
                    <w:pStyle w:val="Compact"/>
                    <w:jc w:val="left"/>
                    <w:jc w:val="center"/>
                  </w:pPr>
                  <w:r>
                    <w:t xml:space="preserve">1.93</w:t>
                  </w:r>
                </w:p>
              </w:tc>
              <w:tc>
                <w:tcPr/>
                <w:p>
                  <w:pPr>
                    <w:pStyle w:val="Compact"/>
                    <w:jc w:val="left"/>
                    <w:jc w:val="center"/>
                  </w:pPr>
                  <w:r>
                    <w:t xml:space="preserve">0.48</w:t>
                  </w:r>
                </w:p>
              </w:tc>
              <w:tc>
                <w:tcPr/>
                <w:p>
                  <w:pPr>
                    <w:pStyle w:val="Compact"/>
                    <w:jc w:val="left"/>
                    <w:jc w:val="center"/>
                  </w:pPr>
                  <w:r>
                    <w:t xml:space="preserve">Inf</w:t>
                  </w:r>
                </w:p>
              </w:tc>
              <w:tc>
                <w:tcPr/>
                <w:p>
                  <w:pPr>
                    <w:pStyle w:val="Compact"/>
                    <w:jc w:val="left"/>
                    <w:jc w:val="center"/>
                  </w:pPr>
                  <w:r>
                    <w:t xml:space="preserve">0</w:t>
                  </w:r>
                </w:p>
              </w:tc>
            </w:tr>
            <w:tr>
              <w:tc>
                <w:tcPr/>
                <w:p>
                  <w:pPr>
                    <w:pStyle w:val="Compact"/>
                    <w:jc w:val="left"/>
                    <w:jc w:val="center"/>
                  </w:pPr>
                  <w:r>
                    <w:t xml:space="preserve">LIDE</w:t>
                  </w:r>
                </w:p>
              </w:tc>
              <w:tc>
                <w:tcPr/>
                <w:p>
                  <w:pPr>
                    <w:pStyle w:val="Compact"/>
                    <w:jc w:val="left"/>
                    <w:jc w:val="center"/>
                  </w:pPr>
                  <w:r>
                    <w:t xml:space="preserve">GS - HD</w:t>
                  </w:r>
                </w:p>
              </w:tc>
              <w:tc>
                <w:tcPr/>
                <w:p>
                  <w:pPr>
                    <w:pStyle w:val="Compact"/>
                    <w:jc w:val="left"/>
                    <w:jc w:val="center"/>
                  </w:pPr>
                  <w:r>
                    <w:t xml:space="preserve">2.12</w:t>
                  </w:r>
                </w:p>
              </w:tc>
              <w:tc>
                <w:tcPr/>
                <w:p>
                  <w:pPr>
                    <w:pStyle w:val="Compact"/>
                    <w:jc w:val="left"/>
                    <w:jc w:val="center"/>
                  </w:pPr>
                  <w:r>
                    <w:t xml:space="preserve">0.47</w:t>
                  </w:r>
                </w:p>
              </w:tc>
              <w:tc>
                <w:tcPr/>
                <w:p>
                  <w:pPr>
                    <w:pStyle w:val="Compact"/>
                    <w:jc w:val="left"/>
                    <w:jc w:val="center"/>
                  </w:pPr>
                  <w:r>
                    <w:t xml:space="preserve">Inf</w:t>
                  </w:r>
                </w:p>
              </w:tc>
              <w:tc>
                <w:tcPr/>
                <w:p>
                  <w:pPr>
                    <w:pStyle w:val="Compact"/>
                    <w:jc w:val="left"/>
                    <w:jc w:val="center"/>
                  </w:pPr>
                  <w:r>
                    <w:t xml:space="preserve">0</w:t>
                  </w:r>
                </w:p>
              </w:tc>
            </w:tr>
            <w:tr>
              <w:tc>
                <w:tcPr/>
                <w:p>
                  <w:pPr>
                    <w:pStyle w:val="Compact"/>
                    <w:jc w:val="left"/>
                    <w:jc w:val="center"/>
                  </w:pPr>
                  <w:r>
                    <w:t xml:space="preserve">LIDE</w:t>
                  </w:r>
                </w:p>
              </w:tc>
              <w:tc>
                <w:tcPr/>
                <w:p>
                  <w:pPr>
                    <w:pStyle w:val="Compact"/>
                    <w:jc w:val="left"/>
                    <w:jc w:val="center"/>
                  </w:pPr>
                  <w:r>
                    <w:t xml:space="preserve">LD - HA</w:t>
                  </w:r>
                </w:p>
              </w:tc>
              <w:tc>
                <w:tcPr/>
                <w:p>
                  <w:pPr>
                    <w:pStyle w:val="Compact"/>
                    <w:jc w:val="left"/>
                    <w:jc w:val="center"/>
                  </w:pPr>
                  <w:r>
                    <w:t xml:space="preserve">0.63</w:t>
                  </w:r>
                </w:p>
              </w:tc>
              <w:tc>
                <w:tcPr/>
                <w:p>
                  <w:pPr>
                    <w:pStyle w:val="Compact"/>
                    <w:jc w:val="left"/>
                    <w:jc w:val="center"/>
                  </w:pPr>
                  <w:r>
                    <w:t xml:space="preserve">0.4</w:t>
                  </w:r>
                </w:p>
              </w:tc>
              <w:tc>
                <w:tcPr/>
                <w:p>
                  <w:pPr>
                    <w:pStyle w:val="Compact"/>
                    <w:jc w:val="left"/>
                    <w:jc w:val="center"/>
                  </w:pPr>
                  <w:r>
                    <w:t xml:space="preserve">Inf</w:t>
                  </w:r>
                </w:p>
              </w:tc>
              <w:tc>
                <w:tcPr/>
                <w:p>
                  <w:pPr>
                    <w:pStyle w:val="Compact"/>
                    <w:jc w:val="left"/>
                    <w:jc w:val="center"/>
                  </w:pPr>
                  <w:r>
                    <w:t xml:space="preserve">0.4</w:t>
                  </w:r>
                </w:p>
              </w:tc>
            </w:tr>
            <w:tr>
              <w:tc>
                <w:tcPr/>
                <w:p>
                  <w:pPr>
                    <w:pStyle w:val="Compact"/>
                    <w:jc w:val="left"/>
                    <w:jc w:val="center"/>
                  </w:pPr>
                  <w:r>
                    <w:t xml:space="preserve">LIDE</w:t>
                  </w:r>
                </w:p>
              </w:tc>
              <w:tc>
                <w:tcPr/>
                <w:p>
                  <w:pPr>
                    <w:pStyle w:val="Compact"/>
                    <w:jc w:val="left"/>
                    <w:jc w:val="center"/>
                  </w:pPr>
                  <w:r>
                    <w:t xml:space="preserve">LD - HD</w:t>
                  </w:r>
                </w:p>
              </w:tc>
              <w:tc>
                <w:tcPr/>
                <w:p>
                  <w:pPr>
                    <w:pStyle w:val="Compact"/>
                    <w:jc w:val="left"/>
                    <w:jc w:val="center"/>
                  </w:pPr>
                  <w:r>
                    <w:t xml:space="preserve">0.82</w:t>
                  </w:r>
                </w:p>
              </w:tc>
              <w:tc>
                <w:tcPr/>
                <w:p>
                  <w:pPr>
                    <w:pStyle w:val="Compact"/>
                    <w:jc w:val="left"/>
                    <w:jc w:val="center"/>
                  </w:pPr>
                  <w:r>
                    <w:t xml:space="preserve">0.39</w:t>
                  </w:r>
                </w:p>
              </w:tc>
              <w:tc>
                <w:tcPr/>
                <w:p>
                  <w:pPr>
                    <w:pStyle w:val="Compact"/>
                    <w:jc w:val="left"/>
                    <w:jc w:val="center"/>
                  </w:pPr>
                  <w:r>
                    <w:t xml:space="preserve">Inf</w:t>
                  </w:r>
                </w:p>
              </w:tc>
              <w:tc>
                <w:tcPr/>
                <w:p>
                  <w:pPr>
                    <w:pStyle w:val="Compact"/>
                    <w:jc w:val="left"/>
                    <w:jc w:val="center"/>
                  </w:pPr>
                  <w:r>
                    <w:t xml:space="preserve">0.16</w:t>
                  </w:r>
                </w:p>
              </w:tc>
            </w:tr>
            <w:tr>
              <w:tc>
                <w:tcPr/>
                <w:p>
                  <w:pPr>
                    <w:pStyle w:val="Compact"/>
                    <w:jc w:val="left"/>
                    <w:jc w:val="center"/>
                  </w:pPr>
                  <w:r>
                    <w:t xml:space="preserve">LIDE</w:t>
                  </w:r>
                </w:p>
              </w:tc>
              <w:tc>
                <w:tcPr/>
                <w:p>
                  <w:pPr>
                    <w:pStyle w:val="Compact"/>
                    <w:jc w:val="left"/>
                    <w:jc w:val="center"/>
                  </w:pPr>
                  <w:r>
                    <w:t xml:space="preserve">HA - HD</w:t>
                  </w:r>
                </w:p>
              </w:tc>
              <w:tc>
                <w:tcPr/>
                <w:p>
                  <w:pPr>
                    <w:pStyle w:val="Compact"/>
                    <w:jc w:val="left"/>
                    <w:jc w:val="center"/>
                  </w:pPr>
                  <w:r>
                    <w:t xml:space="preserve">0.19</w:t>
                  </w:r>
                </w:p>
              </w:tc>
              <w:tc>
                <w:tcPr/>
                <w:p>
                  <w:pPr>
                    <w:pStyle w:val="Compact"/>
                    <w:jc w:val="left"/>
                    <w:jc w:val="center"/>
                  </w:pPr>
                  <w:r>
                    <w:t xml:space="preserve">0.36</w:t>
                  </w:r>
                </w:p>
              </w:tc>
              <w:tc>
                <w:tcPr/>
                <w:p>
                  <w:pPr>
                    <w:pStyle w:val="Compact"/>
                    <w:jc w:val="left"/>
                    <w:jc w:val="center"/>
                  </w:pPr>
                  <w:r>
                    <w:t xml:space="preserve">Inf</w:t>
                  </w:r>
                </w:p>
              </w:tc>
              <w:tc>
                <w:tcPr/>
                <w:p>
                  <w:pPr>
                    <w:pStyle w:val="Compact"/>
                    <w:jc w:val="left"/>
                    <w:jc w:val="center"/>
                  </w:pPr>
                  <w:r>
                    <w:t xml:space="preserve">0.95</w:t>
                  </w:r>
                </w:p>
              </w:tc>
            </w:tr>
            <w:tr>
              <w:tc>
                <w:tcPr/>
                <w:p>
                  <w:pPr>
                    <w:pStyle w:val="Compact"/>
                    <w:jc w:val="left"/>
                    <w:jc w:val="center"/>
                  </w:pPr>
                  <w:r>
                    <w:t xml:space="preserve">SESE</w:t>
                  </w:r>
                </w:p>
              </w:tc>
              <w:tc>
                <w:tcPr/>
                <w:p>
                  <w:pPr>
                    <w:pStyle w:val="Compact"/>
                    <w:jc w:val="left"/>
                    <w:jc w:val="center"/>
                  </w:pPr>
                  <w:r>
                    <w:t xml:space="preserve">GS - LD</w:t>
                  </w:r>
                </w:p>
              </w:tc>
              <w:tc>
                <w:tcPr/>
                <w:p>
                  <w:pPr>
                    <w:pStyle w:val="Compact"/>
                    <w:jc w:val="left"/>
                    <w:jc w:val="center"/>
                  </w:pPr>
                  <w:r>
                    <w:t xml:space="preserve">2.66</w:t>
                  </w:r>
                </w:p>
              </w:tc>
              <w:tc>
                <w:tcPr/>
                <w:p>
                  <w:pPr>
                    <w:pStyle w:val="Compact"/>
                    <w:jc w:val="left"/>
                    <w:jc w:val="center"/>
                  </w:pPr>
                  <w:r>
                    <w:t xml:space="preserve">1.03</w:t>
                  </w:r>
                </w:p>
              </w:tc>
              <w:tc>
                <w:tcPr/>
                <w:p>
                  <w:pPr>
                    <w:pStyle w:val="Compact"/>
                    <w:jc w:val="left"/>
                    <w:jc w:val="center"/>
                  </w:pPr>
                  <w:r>
                    <w:t xml:space="preserve">Inf</w:t>
                  </w:r>
                </w:p>
              </w:tc>
              <w:tc>
                <w:tcPr/>
                <w:p>
                  <w:pPr>
                    <w:pStyle w:val="Compact"/>
                    <w:jc w:val="left"/>
                    <w:jc w:val="center"/>
                  </w:pPr>
                  <w:r>
                    <w:t xml:space="preserve">0.05</w:t>
                  </w:r>
                </w:p>
              </w:tc>
            </w:tr>
            <w:tr>
              <w:tc>
                <w:tcPr/>
                <w:p>
                  <w:pPr>
                    <w:pStyle w:val="Compact"/>
                    <w:jc w:val="left"/>
                    <w:jc w:val="center"/>
                  </w:pPr>
                  <w:r>
                    <w:t xml:space="preserve">SESE</w:t>
                  </w:r>
                </w:p>
              </w:tc>
              <w:tc>
                <w:tcPr/>
                <w:p>
                  <w:pPr>
                    <w:pStyle w:val="Compact"/>
                    <w:jc w:val="left"/>
                    <w:jc w:val="center"/>
                  </w:pPr>
                  <w:r>
                    <w:t xml:space="preserve">GS - HA</w:t>
                  </w:r>
                </w:p>
              </w:tc>
              <w:tc>
                <w:tcPr/>
                <w:p>
                  <w:pPr>
                    <w:pStyle w:val="Compact"/>
                    <w:jc w:val="left"/>
                    <w:jc w:val="center"/>
                  </w:pPr>
                  <w:r>
                    <w:t xml:space="preserve">3.94</w:t>
                  </w:r>
                </w:p>
              </w:tc>
              <w:tc>
                <w:tcPr/>
                <w:p>
                  <w:pPr>
                    <w:pStyle w:val="Compact"/>
                    <w:jc w:val="left"/>
                    <w:jc w:val="center"/>
                  </w:pPr>
                  <w:r>
                    <w:t xml:space="preserve">0.98</w:t>
                  </w:r>
                </w:p>
              </w:tc>
              <w:tc>
                <w:tcPr/>
                <w:p>
                  <w:pPr>
                    <w:pStyle w:val="Compact"/>
                    <w:jc w:val="left"/>
                    <w:jc w:val="center"/>
                  </w:pPr>
                  <w:r>
                    <w:t xml:space="preserve">Inf</w:t>
                  </w:r>
                </w:p>
              </w:tc>
              <w:tc>
                <w:tcPr/>
                <w:p>
                  <w:pPr>
                    <w:pStyle w:val="Compact"/>
                    <w:jc w:val="left"/>
                    <w:jc w:val="center"/>
                  </w:pPr>
                  <w:r>
                    <w:t xml:space="preserve">0</w:t>
                  </w:r>
                </w:p>
              </w:tc>
            </w:tr>
            <w:tr>
              <w:tc>
                <w:tcPr/>
                <w:p>
                  <w:pPr>
                    <w:pStyle w:val="Compact"/>
                    <w:jc w:val="left"/>
                    <w:jc w:val="center"/>
                  </w:pPr>
                  <w:r>
                    <w:t xml:space="preserve">SESE</w:t>
                  </w:r>
                </w:p>
              </w:tc>
              <w:tc>
                <w:tcPr/>
                <w:p>
                  <w:pPr>
                    <w:pStyle w:val="Compact"/>
                    <w:jc w:val="left"/>
                    <w:jc w:val="center"/>
                  </w:pPr>
                  <w:r>
                    <w:t xml:space="preserve">GS - HD</w:t>
                  </w:r>
                </w:p>
              </w:tc>
              <w:tc>
                <w:tcPr/>
                <w:p>
                  <w:pPr>
                    <w:pStyle w:val="Compact"/>
                    <w:jc w:val="left"/>
                    <w:jc w:val="center"/>
                  </w:pPr>
                  <w:r>
                    <w:t xml:space="preserve">4.33</w:t>
                  </w:r>
                </w:p>
              </w:tc>
              <w:tc>
                <w:tcPr/>
                <w:p>
                  <w:pPr>
                    <w:pStyle w:val="Compact"/>
                    <w:jc w:val="left"/>
                    <w:jc w:val="center"/>
                  </w:pPr>
                  <w:r>
                    <w:t xml:space="preserve">0.97</w:t>
                  </w:r>
                </w:p>
              </w:tc>
              <w:tc>
                <w:tcPr/>
                <w:p>
                  <w:pPr>
                    <w:pStyle w:val="Compact"/>
                    <w:jc w:val="left"/>
                    <w:jc w:val="center"/>
                  </w:pPr>
                  <w:r>
                    <w:t xml:space="preserve">Inf</w:t>
                  </w:r>
                </w:p>
              </w:tc>
              <w:tc>
                <w:tcPr/>
                <w:p>
                  <w:pPr>
                    <w:pStyle w:val="Compact"/>
                    <w:jc w:val="left"/>
                    <w:jc w:val="center"/>
                  </w:pPr>
                  <w:r>
                    <w:t xml:space="preserve">0</w:t>
                  </w:r>
                </w:p>
              </w:tc>
            </w:tr>
            <w:tr>
              <w:tc>
                <w:tcPr/>
                <w:p>
                  <w:pPr>
                    <w:pStyle w:val="Compact"/>
                    <w:jc w:val="left"/>
                    <w:jc w:val="center"/>
                  </w:pPr>
                  <w:r>
                    <w:t xml:space="preserve">SESE</w:t>
                  </w:r>
                </w:p>
              </w:tc>
              <w:tc>
                <w:tcPr/>
                <w:p>
                  <w:pPr>
                    <w:pStyle w:val="Compact"/>
                    <w:jc w:val="left"/>
                    <w:jc w:val="center"/>
                  </w:pPr>
                  <w:r>
                    <w:t xml:space="preserve">LD - HA</w:t>
                  </w:r>
                </w:p>
              </w:tc>
              <w:tc>
                <w:tcPr/>
                <w:p>
                  <w:pPr>
                    <w:pStyle w:val="Compact"/>
                    <w:jc w:val="left"/>
                    <w:jc w:val="center"/>
                  </w:pPr>
                  <w:r>
                    <w:t xml:space="preserve">1.29</w:t>
                  </w:r>
                </w:p>
              </w:tc>
              <w:tc>
                <w:tcPr/>
                <w:p>
                  <w:pPr>
                    <w:pStyle w:val="Compact"/>
                    <w:jc w:val="left"/>
                    <w:jc w:val="center"/>
                  </w:pPr>
                  <w:r>
                    <w:t xml:space="preserve">0.82</w:t>
                  </w:r>
                </w:p>
              </w:tc>
              <w:tc>
                <w:tcPr/>
                <w:p>
                  <w:pPr>
                    <w:pStyle w:val="Compact"/>
                    <w:jc w:val="left"/>
                    <w:jc w:val="center"/>
                  </w:pPr>
                  <w:r>
                    <w:t xml:space="preserve">Inf</w:t>
                  </w:r>
                </w:p>
              </w:tc>
              <w:tc>
                <w:tcPr/>
                <w:p>
                  <w:pPr>
                    <w:pStyle w:val="Compact"/>
                    <w:jc w:val="left"/>
                    <w:jc w:val="center"/>
                  </w:pPr>
                  <w:r>
                    <w:t xml:space="preserve">0.4</w:t>
                  </w:r>
                </w:p>
              </w:tc>
            </w:tr>
            <w:tr>
              <w:tc>
                <w:tcPr/>
                <w:p>
                  <w:pPr>
                    <w:pStyle w:val="Compact"/>
                    <w:jc w:val="left"/>
                    <w:jc w:val="center"/>
                  </w:pPr>
                  <w:r>
                    <w:t xml:space="preserve">SESE</w:t>
                  </w:r>
                </w:p>
              </w:tc>
              <w:tc>
                <w:tcPr/>
                <w:p>
                  <w:pPr>
                    <w:pStyle w:val="Compact"/>
                    <w:jc w:val="left"/>
                    <w:jc w:val="center"/>
                  </w:pPr>
                  <w:r>
                    <w:t xml:space="preserve">LD - HD</w:t>
                  </w:r>
                </w:p>
              </w:tc>
              <w:tc>
                <w:tcPr/>
                <w:p>
                  <w:pPr>
                    <w:pStyle w:val="Compact"/>
                    <w:jc w:val="left"/>
                    <w:jc w:val="center"/>
                  </w:pPr>
                  <w:r>
                    <w:t xml:space="preserve">1.68</w:t>
                  </w:r>
                </w:p>
              </w:tc>
              <w:tc>
                <w:tcPr/>
                <w:p>
                  <w:pPr>
                    <w:pStyle w:val="Compact"/>
                    <w:jc w:val="left"/>
                    <w:jc w:val="center"/>
                  </w:pPr>
                  <w:r>
                    <w:t xml:space="preserve">0.81</w:t>
                  </w:r>
                </w:p>
              </w:tc>
              <w:tc>
                <w:tcPr/>
                <w:p>
                  <w:pPr>
                    <w:pStyle w:val="Compact"/>
                    <w:jc w:val="left"/>
                    <w:jc w:val="center"/>
                  </w:pPr>
                  <w:r>
                    <w:t xml:space="preserve">Inf</w:t>
                  </w:r>
                </w:p>
              </w:tc>
              <w:tc>
                <w:tcPr/>
                <w:p>
                  <w:pPr>
                    <w:pStyle w:val="Compact"/>
                    <w:jc w:val="left"/>
                    <w:jc w:val="center"/>
                  </w:pPr>
                  <w:r>
                    <w:t xml:space="preserve">0.16</w:t>
                  </w:r>
                </w:p>
              </w:tc>
            </w:tr>
            <w:tr>
              <w:tc>
                <w:tcPr/>
                <w:p>
                  <w:pPr>
                    <w:pStyle w:val="Compact"/>
                    <w:jc w:val="left"/>
                    <w:jc w:val="center"/>
                  </w:pPr>
                  <w:r>
                    <w:t xml:space="preserve">SESE</w:t>
                  </w:r>
                </w:p>
              </w:tc>
              <w:tc>
                <w:tcPr/>
                <w:p>
                  <w:pPr>
                    <w:pStyle w:val="Compact"/>
                    <w:jc w:val="left"/>
                    <w:jc w:val="center"/>
                  </w:pPr>
                  <w:r>
                    <w:t xml:space="preserve">HA - HD</w:t>
                  </w:r>
                </w:p>
              </w:tc>
              <w:tc>
                <w:tcPr/>
                <w:p>
                  <w:pPr>
                    <w:pStyle w:val="Compact"/>
                    <w:jc w:val="left"/>
                    <w:jc w:val="center"/>
                  </w:pPr>
                  <w:r>
                    <w:t xml:space="preserve">0.39</w:t>
                  </w:r>
                </w:p>
              </w:tc>
              <w:tc>
                <w:tcPr/>
                <w:p>
                  <w:pPr>
                    <w:pStyle w:val="Compact"/>
                    <w:jc w:val="left"/>
                    <w:jc w:val="center"/>
                  </w:pPr>
                  <w:r>
                    <w:t xml:space="preserve">0.75</w:t>
                  </w:r>
                </w:p>
              </w:tc>
              <w:tc>
                <w:tcPr/>
                <w:p>
                  <w:pPr>
                    <w:pStyle w:val="Compact"/>
                    <w:jc w:val="left"/>
                    <w:jc w:val="center"/>
                  </w:pPr>
                  <w:r>
                    <w:t xml:space="preserve">Inf</w:t>
                  </w:r>
                </w:p>
              </w:tc>
              <w:tc>
                <w:tcPr/>
                <w:p>
                  <w:pPr>
                    <w:pStyle w:val="Compact"/>
                    <w:jc w:val="left"/>
                    <w:jc w:val="center"/>
                  </w:pPr>
                  <w:r>
                    <w:t xml:space="preserve">0.95</w:t>
                  </w:r>
                </w:p>
              </w:tc>
            </w:tr>
          </w:tbl>
          <w:bookmarkEnd w:id="93"/>
          <w:p/>
        </w:tc>
      </w:tr>
    </w:tbl>
    <w:bookmarkEnd w:id="94"/>
    <w:bookmarkEnd w:id="95"/>
    <w:bookmarkStart w:id="117" w:name="fuels-2"/>
    <w:p>
      <w:pPr>
        <w:pStyle w:val="Heading2"/>
      </w:pPr>
      <w:r>
        <w:t xml:space="preserve">3.3 Fuels</w:t>
      </w:r>
    </w:p>
    <w:bookmarkStart w:id="103" w:name="pre-pct"/>
    <w:p>
      <w:pPr>
        <w:pStyle w:val="Heading3"/>
      </w:pPr>
      <w:r>
        <w:t xml:space="preserve">3.3.1 Pre-pct</w:t>
      </w:r>
    </w:p>
    <w:p>
      <w:pPr>
        <w:pStyle w:val="FirstParagraph"/>
      </w:pPr>
      <w:r>
        <w:t xml:space="preserve">Gamma distributed, linear multi-level models, with a log link were used for all</w:t>
      </w:r>
      <w:r>
        <w:t xml:space="preserve"> </w:t>
      </w:r>
      <w:r>
        <w:t xml:space="preserve">six fuel class responses. Random intercepts were specified for three levels of</w:t>
      </w:r>
      <w:r>
        <w:t xml:space="preserve"> </w:t>
      </w:r>
      <w:r>
        <w:t xml:space="preserve">nesting, representing sites, treatment blocks, and transect corners. All models</w:t>
      </w:r>
      <w:r>
        <w:t xml:space="preserve"> </w:t>
      </w:r>
      <w:r>
        <w:t xml:space="preserve">except for the duff &amp; litter model included a hurdle model to account for</w:t>
      </w:r>
      <w:r>
        <w:t xml:space="preserve"> </w:t>
      </w:r>
      <w:r>
        <w:t xml:space="preserve">zero, which was modeled with a logit link. For the 10-hr fuel model, the hurdle</w:t>
      </w:r>
      <w:r>
        <w:t xml:space="preserve"> </w:t>
      </w:r>
      <w:r>
        <w:t xml:space="preserve">portion was modeled as a function of treatment, and for the others, it was</w:t>
      </w:r>
      <w:r>
        <w:t xml:space="preserve"> </w:t>
      </w:r>
      <w:r>
        <w:t xml:space="preserve">modeled as a single rate for all observations. The 10-hr fuel model also</w:t>
      </w:r>
      <w:r>
        <w:t xml:space="preserve"> </w:t>
      </w:r>
      <w:r>
        <w:t xml:space="preserve">included a dispersion model, which was modeled with a log link, using treatment</w:t>
      </w:r>
      <w:r>
        <w:t xml:space="preserve"> </w:t>
      </w:r>
      <w:r>
        <w:t xml:space="preserve">as a predictor (</w:t>
      </w:r>
      <w:hyperlink w:anchor="tbl-fuel-pre-pct-mod">
        <w:r>
          <w:rPr>
            <w:rStyle w:val="Hyperlink"/>
          </w:rPr>
          <w:t xml:space="preserve">Table 3.9</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96" w:name="tbl-fuel-pre-pct-mod"/>
          <w:p>
            <w:pPr>
              <w:jc w:val="center"/>
            </w:pPr>
            <w:pPr>
              <w:jc w:val="start"/>
              <w:spacing w:before="200"/>
              <w:pStyle w:val="ImageCaption"/>
            </w:pPr>
            <w:r>
              <w:t xml:space="preserve">Table 3.9: Model specifications for six fuel classes before pct.</w:t>
            </w:r>
          </w:p>
          <w:tbl>
            <w:tblPr>
              <w:tblStyle w:val="Table"/>
              <w:tblW w:type="pct" w:w="4850"/>
              <w:tblLook w:firstRow="1" w:lastRow="0" w:firstColumn="0" w:lastColumn="0" w:noHBand="0" w:noVBand="0" w:val="0020"/>
              <w:jc w:val="start"/>
              <w:tblLayout w:type="fixed"/>
            </w:tblPr>
            <w:tblGrid>
              <w:gridCol w:w="952"/>
              <w:gridCol w:w="535"/>
              <w:gridCol w:w="416"/>
              <w:gridCol w:w="3632"/>
              <w:gridCol w:w="1131"/>
              <w:gridCol w:w="1012"/>
            </w:tblGrid>
            <w:tr>
              <w:trPr>
                <w:tblHeader w:val="true"/>
              </w:trPr>
              <w:tc>
                <w:tcPr/>
                <w:p>
                  <w:pPr>
                    <w:pStyle w:val="Compact"/>
                    <w:jc w:val="left"/>
                    <w:jc w:val="center"/>
                  </w:pPr>
                  <w:r>
                    <w:t xml:space="preserve">class</w:t>
                  </w:r>
                </w:p>
              </w:tc>
              <w:tc>
                <w:tcPr/>
                <w:p>
                  <w:pPr>
                    <w:pStyle w:val="Compact"/>
                    <w:jc w:val="left"/>
                    <w:jc w:val="center"/>
                  </w:pPr>
                  <w:r>
                    <w:t xml:space="preserve">Family</w:t>
                  </w:r>
                </w:p>
              </w:tc>
              <w:tc>
                <w:tcPr/>
                <w:p>
                  <w:pPr>
                    <w:pStyle w:val="Compact"/>
                    <w:jc w:val="left"/>
                    <w:jc w:val="center"/>
                  </w:pPr>
                  <w:r>
                    <w:t xml:space="preserve">Link</w:t>
                  </w:r>
                </w:p>
              </w:tc>
              <w:tc>
                <w:tcPr/>
                <w:p>
                  <w:pPr>
                    <w:pStyle w:val="Compact"/>
                    <w:jc w:val="left"/>
                    <w:jc w:val="center"/>
                  </w:pPr>
                  <w:r>
                    <w:t xml:space="preserve">Conditional</w:t>
                  </w:r>
                </w:p>
              </w:tc>
              <w:tc>
                <w:tcPr/>
                <w:p>
                  <w:pPr>
                    <w:pStyle w:val="Compact"/>
                    <w:jc w:val="left"/>
                    <w:jc w:val="center"/>
                  </w:pPr>
                  <w:r>
                    <w:t xml:space="preserve">Dispersion (log)</w:t>
                  </w:r>
                </w:p>
              </w:tc>
              <w:tc>
                <w:tcPr/>
                <w:p>
                  <w:pPr>
                    <w:pStyle w:val="Compact"/>
                    <w:jc w:val="left"/>
                    <w:jc w:val="center"/>
                  </w:pPr>
                  <w:r>
                    <w:t xml:space="preserve">Hurdle (logit)</w:t>
                  </w:r>
                </w:p>
              </w:tc>
            </w:tr>
            <w:tr>
              <w:tc>
                <w:tcPr/>
                <w:p>
                  <w:pPr>
                    <w:pStyle w:val="Compact"/>
                    <w:jc w:val="left"/>
                    <w:jc w:val="center"/>
                  </w:pPr>
                  <w:r>
                    <w:t xml:space="preserve">Duff &amp; Litter</w:t>
                  </w:r>
                </w:p>
              </w:tc>
              <w:tc>
                <w:tcPr/>
                <w:p>
                  <w:pPr>
                    <w:pStyle w:val="Compact"/>
                    <w:jc w:val="left"/>
                    <w:jc w:val="center"/>
                  </w:pPr>
                  <w:r>
                    <w:t xml:space="preserve">Gamma</w:t>
                  </w:r>
                </w:p>
              </w:tc>
              <w:tc>
                <w:tcPr/>
                <w:p>
                  <w:pPr>
                    <w:pStyle w:val="Compact"/>
                    <w:jc w:val="left"/>
                    <w:jc w:val="center"/>
                  </w:pPr>
                  <w:r>
                    <w:t xml:space="preserve">log</w:t>
                  </w:r>
                </w:p>
              </w:tc>
              <w:tc>
                <w:tcPr/>
                <w:p>
                  <w:pPr>
                    <w:pStyle w:val="Compact"/>
                    <w:jc w:val="left"/>
                    <w:jc w:val="center"/>
                  </w:pPr>
                  <w:r>
                    <w:t xml:space="preserve">load ~ treatment + (1 | site) + (1 | block) + (1 | corner)</w:t>
                  </w:r>
                </w:p>
              </w:tc>
              <w:tc>
                <w:tcPr/>
                <w:p>
                  <w:pPr>
                    <w:pStyle w:val="Compact"/>
                    <w:jc w:val="left"/>
                    <w:jc w:val="center"/>
                  </w:pPr>
                  <w:r>
                    <w:t xml:space="preserve">~1</w:t>
                  </w:r>
                </w:p>
              </w:tc>
              <w:tc>
                <w:tcPr/>
                <w:p>
                  <w:pPr>
                    <w:pStyle w:val="Compact"/>
                    <w:jc w:val="left"/>
                    <w:jc w:val="center"/>
                  </w:pPr>
                  <w:r>
                    <w:t xml:space="preserve">~0</w:t>
                  </w:r>
                </w:p>
              </w:tc>
            </w:tr>
            <w:tr>
              <w:tc>
                <w:tcPr/>
                <w:p>
                  <w:pPr>
                    <w:pStyle w:val="Compact"/>
                    <w:jc w:val="left"/>
                    <w:jc w:val="center"/>
                  </w:pPr>
                  <w:r>
                    <w:t xml:space="preserve">1-hr</w:t>
                  </w:r>
                </w:p>
              </w:tc>
              <w:tc>
                <w:tcPr/>
                <w:p>
                  <w:pPr>
                    <w:pStyle w:val="Compact"/>
                    <w:jc w:val="left"/>
                    <w:jc w:val="center"/>
                  </w:pPr>
                  <w:r>
                    <w:t xml:space="preserve">Gamma</w:t>
                  </w:r>
                </w:p>
              </w:tc>
              <w:tc>
                <w:tcPr/>
                <w:p>
                  <w:pPr>
                    <w:pStyle w:val="Compact"/>
                    <w:jc w:val="left"/>
                    <w:jc w:val="center"/>
                  </w:pPr>
                  <w:r>
                    <w:t xml:space="preserve">log</w:t>
                  </w:r>
                </w:p>
              </w:tc>
              <w:tc>
                <w:tcPr/>
                <w:p>
                  <w:pPr>
                    <w:pStyle w:val="Compact"/>
                    <w:jc w:val="left"/>
                    <w:jc w:val="center"/>
                  </w:pPr>
                  <w:r>
                    <w:t xml:space="preserve">load ~ treatment + (1 | site) + (1 | block) + (1 | corner)</w:t>
                  </w:r>
                </w:p>
              </w:tc>
              <w:tc>
                <w:tcPr/>
                <w:p>
                  <w:pPr>
                    <w:pStyle w:val="Compact"/>
                    <w:jc w:val="left"/>
                    <w:jc w:val="center"/>
                  </w:pPr>
                  <w:r>
                    <w:t xml:space="preserve">~1</w:t>
                  </w:r>
                </w:p>
              </w:tc>
              <w:tc>
                <w:tcPr/>
                <w:p>
                  <w:pPr>
                    <w:pStyle w:val="Compact"/>
                    <w:jc w:val="left"/>
                    <w:jc w:val="center"/>
                  </w:pPr>
                  <w:r>
                    <w:t xml:space="preserve">~1</w:t>
                  </w:r>
                </w:p>
              </w:tc>
            </w:tr>
            <w:tr>
              <w:tc>
                <w:tcPr/>
                <w:p>
                  <w:pPr>
                    <w:pStyle w:val="Compact"/>
                    <w:jc w:val="left"/>
                    <w:jc w:val="center"/>
                  </w:pPr>
                  <w:r>
                    <w:t xml:space="preserve">10-hr</w:t>
                  </w:r>
                </w:p>
              </w:tc>
              <w:tc>
                <w:tcPr/>
                <w:p>
                  <w:pPr>
                    <w:pStyle w:val="Compact"/>
                    <w:jc w:val="left"/>
                    <w:jc w:val="center"/>
                  </w:pPr>
                  <w:r>
                    <w:t xml:space="preserve">Gamma</w:t>
                  </w:r>
                </w:p>
              </w:tc>
              <w:tc>
                <w:tcPr/>
                <w:p>
                  <w:pPr>
                    <w:pStyle w:val="Compact"/>
                    <w:jc w:val="left"/>
                    <w:jc w:val="center"/>
                  </w:pPr>
                  <w:r>
                    <w:t xml:space="preserve">log</w:t>
                  </w:r>
                </w:p>
              </w:tc>
              <w:tc>
                <w:tcPr/>
                <w:p>
                  <w:pPr>
                    <w:pStyle w:val="Compact"/>
                    <w:jc w:val="left"/>
                    <w:jc w:val="center"/>
                  </w:pPr>
                  <w:r>
                    <w:t xml:space="preserve">load ~ treatment + (1 | site) + (1 | block) + (1 | corner)</w:t>
                  </w:r>
                </w:p>
              </w:tc>
              <w:tc>
                <w:tcPr/>
                <w:p>
                  <w:pPr>
                    <w:pStyle w:val="Compact"/>
                    <w:jc w:val="left"/>
                    <w:jc w:val="center"/>
                  </w:pPr>
                  <w:r>
                    <w:t xml:space="preserve">~treatment</w:t>
                  </w:r>
                </w:p>
              </w:tc>
              <w:tc>
                <w:tcPr/>
                <w:p>
                  <w:pPr>
                    <w:pStyle w:val="Compact"/>
                    <w:jc w:val="left"/>
                    <w:jc w:val="center"/>
                  </w:pPr>
                  <w:r>
                    <w:t xml:space="preserve">~treatment</w:t>
                  </w:r>
                </w:p>
              </w:tc>
            </w:tr>
            <w:tr>
              <w:tc>
                <w:tcPr/>
                <w:p>
                  <w:pPr>
                    <w:pStyle w:val="Compact"/>
                    <w:jc w:val="left"/>
                    <w:jc w:val="center"/>
                  </w:pPr>
                  <w:r>
                    <w:t xml:space="preserve">100-hr</w:t>
                  </w:r>
                </w:p>
              </w:tc>
              <w:tc>
                <w:tcPr/>
                <w:p>
                  <w:pPr>
                    <w:pStyle w:val="Compact"/>
                    <w:jc w:val="left"/>
                    <w:jc w:val="center"/>
                  </w:pPr>
                  <w:r>
                    <w:t xml:space="preserve">Gamma</w:t>
                  </w:r>
                </w:p>
              </w:tc>
              <w:tc>
                <w:tcPr/>
                <w:p>
                  <w:pPr>
                    <w:pStyle w:val="Compact"/>
                    <w:jc w:val="left"/>
                    <w:jc w:val="center"/>
                  </w:pPr>
                  <w:r>
                    <w:t xml:space="preserve">log</w:t>
                  </w:r>
                </w:p>
              </w:tc>
              <w:tc>
                <w:tcPr/>
                <w:p>
                  <w:pPr>
                    <w:pStyle w:val="Compact"/>
                    <w:jc w:val="left"/>
                    <w:jc w:val="center"/>
                  </w:pPr>
                  <w:r>
                    <w:t xml:space="preserve">load ~ treatment + (1 | site) + (1 | block) + (1 | corner)</w:t>
                  </w:r>
                </w:p>
              </w:tc>
              <w:tc>
                <w:tcPr/>
                <w:p>
                  <w:pPr>
                    <w:pStyle w:val="Compact"/>
                    <w:jc w:val="left"/>
                    <w:jc w:val="center"/>
                  </w:pPr>
                  <w:r>
                    <w:t xml:space="preserve">~1</w:t>
                  </w:r>
                </w:p>
              </w:tc>
              <w:tc>
                <w:tcPr/>
                <w:p>
                  <w:pPr>
                    <w:pStyle w:val="Compact"/>
                    <w:jc w:val="left"/>
                    <w:jc w:val="center"/>
                  </w:pPr>
                  <w:r>
                    <w:t xml:space="preserve">~1</w:t>
                  </w:r>
                </w:p>
              </w:tc>
            </w:tr>
            <w:tr>
              <w:tc>
                <w:tcPr/>
                <w:p>
                  <w:pPr>
                    <w:pStyle w:val="Compact"/>
                    <w:jc w:val="left"/>
                    <w:jc w:val="center"/>
                  </w:pPr>
                  <w:r>
                    <w:t xml:space="preserve">1,000-hr</w:t>
                  </w:r>
                </w:p>
              </w:tc>
              <w:tc>
                <w:tcPr/>
                <w:p>
                  <w:pPr>
                    <w:pStyle w:val="Compact"/>
                    <w:jc w:val="left"/>
                    <w:jc w:val="center"/>
                  </w:pPr>
                  <w:r>
                    <w:t xml:space="preserve">Gamma</w:t>
                  </w:r>
                </w:p>
              </w:tc>
              <w:tc>
                <w:tcPr/>
                <w:p>
                  <w:pPr>
                    <w:pStyle w:val="Compact"/>
                    <w:jc w:val="left"/>
                    <w:jc w:val="center"/>
                  </w:pPr>
                  <w:r>
                    <w:t xml:space="preserve">log</w:t>
                  </w:r>
                </w:p>
              </w:tc>
              <w:tc>
                <w:tcPr/>
                <w:p>
                  <w:pPr>
                    <w:pStyle w:val="Compact"/>
                    <w:jc w:val="left"/>
                    <w:jc w:val="center"/>
                  </w:pPr>
                  <w:r>
                    <w:t xml:space="preserve">load ~ treatment + (1 | site) + (1 | block) + (1 | corner)</w:t>
                  </w:r>
                </w:p>
              </w:tc>
              <w:tc>
                <w:tcPr/>
                <w:p>
                  <w:pPr>
                    <w:pStyle w:val="Compact"/>
                    <w:jc w:val="left"/>
                    <w:jc w:val="center"/>
                  </w:pPr>
                  <w:r>
                    <w:t xml:space="preserve">~1</w:t>
                  </w:r>
                </w:p>
              </w:tc>
              <w:tc>
                <w:tcPr/>
                <w:p>
                  <w:pPr>
                    <w:pStyle w:val="Compact"/>
                    <w:jc w:val="left"/>
                    <w:jc w:val="center"/>
                  </w:pPr>
                  <w:r>
                    <w:t xml:space="preserve">~1</w:t>
                  </w:r>
                </w:p>
              </w:tc>
            </w:tr>
            <w:tr>
              <w:tc>
                <w:tcPr/>
                <w:p>
                  <w:pPr>
                    <w:pStyle w:val="Compact"/>
                    <w:jc w:val="left"/>
                    <w:jc w:val="center"/>
                  </w:pPr>
                  <w:r>
                    <w:t xml:space="preserve">Vegetation</w:t>
                  </w:r>
                </w:p>
              </w:tc>
              <w:tc>
                <w:tcPr/>
                <w:p>
                  <w:pPr>
                    <w:pStyle w:val="Compact"/>
                    <w:jc w:val="left"/>
                    <w:jc w:val="center"/>
                  </w:pPr>
                  <w:r>
                    <w:t xml:space="preserve">Gamma</w:t>
                  </w:r>
                </w:p>
              </w:tc>
              <w:tc>
                <w:tcPr/>
                <w:p>
                  <w:pPr>
                    <w:pStyle w:val="Compact"/>
                    <w:jc w:val="left"/>
                    <w:jc w:val="center"/>
                  </w:pPr>
                  <w:r>
                    <w:t xml:space="preserve">log</w:t>
                  </w:r>
                </w:p>
              </w:tc>
              <w:tc>
                <w:tcPr/>
                <w:p>
                  <w:pPr>
                    <w:pStyle w:val="Compact"/>
                    <w:jc w:val="left"/>
                    <w:jc w:val="center"/>
                  </w:pPr>
                  <w:r>
                    <w:t xml:space="preserve">load ~ treatment + (1 | site) + (1 | block) + (1 | corner)</w:t>
                  </w:r>
                </w:p>
              </w:tc>
              <w:tc>
                <w:tcPr/>
                <w:p>
                  <w:pPr>
                    <w:pStyle w:val="Compact"/>
                    <w:jc w:val="left"/>
                    <w:jc w:val="center"/>
                  </w:pPr>
                  <w:r>
                    <w:t xml:space="preserve">~1</w:t>
                  </w:r>
                </w:p>
              </w:tc>
              <w:tc>
                <w:tcPr/>
                <w:p>
                  <w:pPr>
                    <w:pStyle w:val="Compact"/>
                    <w:jc w:val="left"/>
                    <w:jc w:val="center"/>
                  </w:pPr>
                  <w:r>
                    <w:t xml:space="preserve">~1</w:t>
                  </w:r>
                </w:p>
              </w:tc>
            </w:tr>
          </w:tbl>
          <w:bookmarkEnd w:id="96"/>
          <w:p/>
        </w:tc>
      </w:tr>
    </w:tbl>
    <w:p>
      <w:pPr>
        <w:pStyle w:val="BodyText"/>
      </w:pPr>
      <w:r>
        <w:t xml:space="preserve">TODO: I’m here</w:t>
      </w:r>
    </w:p>
    <w:p>
      <w:pPr>
        <w:pStyle w:val="BodyText"/>
      </w:pPr>
      <w:r>
        <w:t xml:space="preserve">For Duff &amp; Litter, the largest difference was between the HD and HA treatments.</w:t>
      </w:r>
      <w:r>
        <w:t xml:space="preserve"> </w:t>
      </w:r>
      <w:r>
        <w:t xml:space="preserve">The HD treatment had about 1.4 times more duff and litter (p = 0.07). Generally,</w:t>
      </w:r>
      <w:r>
        <w:t xml:space="preserve"> </w:t>
      </w:r>
      <w:r>
        <w:t xml:space="preserve">all treatments were similar, with estimated loading of around 50 Mg ha-1.</w:t>
      </w:r>
      <w:r>
        <w:t xml:space="preserve"> </w:t>
      </w:r>
      <w:r>
        <w:t xml:space="preserve">One-hour fuels were around 50% higher in the HA treatment compared to the LD and</w:t>
      </w:r>
      <w:r>
        <w:t xml:space="preserve"> </w:t>
      </w:r>
      <w:r>
        <w:t xml:space="preserve">GS treatments (p = 0.07, and p = 0.01, respectively), with mean differences of</w:t>
      </w:r>
      <w:r>
        <w:t xml:space="preserve"> </w:t>
      </w:r>
      <w:r>
        <w:t xml:space="preserve">around 0.5 Mg ha-1. Ten, hundred and thousand-hour fuels were statistically,</w:t>
      </w:r>
      <w:r>
        <w:t xml:space="preserve"> </w:t>
      </w:r>
      <w:r>
        <w:t xml:space="preserve">very similar across treatments (p = 0.7 — p = 1). Point estimates varied by</w:t>
      </w:r>
      <w:r>
        <w:t xml:space="preserve"> </w:t>
      </w:r>
      <w:r>
        <w:t xml:space="preserve">about 1, 3, and &lt;20 Mg ha-1 for ten, hundred, and thousand-hour fuels,</w:t>
      </w:r>
      <w:r>
        <w:t xml:space="preserve"> </w:t>
      </w:r>
      <w:r>
        <w:t xml:space="preserve">respectively. Vegetative fuel loading was greatest in the GS treatment, with an</w:t>
      </w:r>
      <w:r>
        <w:t xml:space="preserve"> </w:t>
      </w:r>
      <w:r>
        <w:t xml:space="preserve">expected value of 28.5 Mg ha-1, which was about 2.7 times greater than in HA (p</w:t>
      </w:r>
      <w:r>
        <w:t xml:space="preserve"> </w:t>
      </w:r>
      <w:r>
        <w:t xml:space="preserve">= 0.01) (</w:t>
      </w:r>
      <w:hyperlink w:anchor="fig-fuel-pre-pct">
        <w:r>
          <w:rPr>
            <w:rStyle w:val="Hyperlink"/>
          </w:rPr>
          <w:t xml:space="preserve">Figure 3.7</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100" w:name="fig-fuel-pre-pct"/>
          <w:p>
            <w:pPr>
              <w:pStyle w:val="Compact"/>
              <w:jc w:val="center"/>
            </w:pPr>
            <w:r>
              <w:drawing>
                <wp:inline>
                  <wp:extent cx="5334000" cy="2667000"/>
                  <wp:effectExtent b="0" l="0" r="0" t="0"/>
                  <wp:docPr descr="" title="" id="98" name="Picture"/>
                  <a:graphic>
                    <a:graphicData uri="http://schemas.openxmlformats.org/drawingml/2006/picture">
                      <pic:pic>
                        <pic:nvPicPr>
                          <pic:cNvPr descr="thesis/results_files/figure-docx/fig-fuel-pre-pct-1.png" id="99" name="Picture"/>
                          <pic:cNvPicPr>
                            <a:picLocks noChangeArrowheads="1" noChangeAspect="1"/>
                          </pic:cNvPicPr>
                        </pic:nvPicPr>
                        <pic:blipFill>
                          <a:blip r:embed="rId97"/>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3.7: Estimated marginal means (black dots) confidence intervals (gray bands) and comparisons (blue arrows) of fuel loading across four treatments for six different fuel-class models. Non-overlapping blue arrows indicates statistical significance at the α = 0.05 level.</w:t>
            </w:r>
          </w:p>
          <w:bookmarkEnd w:id="100"/>
        </w:tc>
      </w:tr>
    </w:tbl>
    <w:tbl>
      <w:tblPr>
        <w:tblStyle w:val="Table"/>
        <w:tblW w:type="pct" w:w="5000"/>
        <w:tblLook w:firstRow="0" w:lastRow="0" w:firstColumn="0" w:lastColumn="0" w:noHBand="0" w:noVBand="0" w:val="0000"/>
        <w:jc w:val="start"/>
        <w:tblLayout w:type="fixed"/>
      </w:tblPr>
      <w:tblGrid>
        <w:gridCol w:w="7920"/>
      </w:tblGrid>
      <w:tr>
        <w:tc>
          <w:tcPr/>
          <w:bookmarkStart w:id="101" w:name="tbl-fuel-pre-pct-means"/>
          <w:p>
            <w:pPr>
              <w:jc w:val="center"/>
            </w:pPr>
            <w:pPr>
              <w:jc w:val="start"/>
              <w:spacing w:before="200"/>
              <w:pStyle w:val="ImageCaption"/>
            </w:pPr>
            <w:r>
              <w:t xml:space="preserve">Table 3.10: Estimated marginal means (Mg ha</w:t>
            </w:r>
            <w:r>
              <w:rPr>
                <w:vertAlign w:val="superscript"/>
              </w:rPr>
              <w:t xml:space="preserve">-1</w:t>
            </w:r>
            <w:r>
              <w:t xml:space="preserve">) for six fuel classes and four overstory treatments before pct</w:t>
            </w:r>
          </w:p>
          <w:tbl>
            <w:tblPr>
              <w:tblStyle w:val="Table"/>
              <w:tblW w:type="pct" w:w="4684"/>
              <w:tblLook w:firstRow="1" w:lastRow="0" w:firstColumn="0" w:lastColumn="0" w:noHBand="0" w:noVBand="0" w:val="0020"/>
              <w:jc w:val="start"/>
              <w:tblLayout w:type="fixed"/>
            </w:tblPr>
            <w:tblGrid>
              <w:gridCol w:w="1303"/>
              <w:gridCol w:w="1203"/>
              <w:gridCol w:w="1102"/>
              <w:gridCol w:w="802"/>
              <w:gridCol w:w="601"/>
              <w:gridCol w:w="1203"/>
              <w:gridCol w:w="1203"/>
            </w:tblGrid>
            <w:tr>
              <w:trPr>
                <w:tblHeader w:val="true"/>
              </w:trPr>
              <w:tc>
                <w:tcPr/>
                <w:p>
                  <w:pPr>
                    <w:pStyle w:val="Compact"/>
                    <w:jc w:val="left"/>
                    <w:jc w:val="center"/>
                  </w:pPr>
                  <w:r>
                    <w:t xml:space="preserve">class</w:t>
                  </w:r>
                </w:p>
              </w:tc>
              <w:tc>
                <w:tcPr/>
                <w:p>
                  <w:pPr>
                    <w:pStyle w:val="Compact"/>
                    <w:jc w:val="left"/>
                    <w:jc w:val="center"/>
                  </w:pPr>
                  <w:r>
                    <w:t xml:space="preserve">treatment</w:t>
                  </w:r>
                </w:p>
              </w:tc>
              <w:tc>
                <w:tcPr/>
                <w:p>
                  <w:pPr>
                    <w:pStyle w:val="Compact"/>
                    <w:jc w:val="left"/>
                    <w:jc w:val="center"/>
                  </w:pPr>
                  <w:r>
                    <w:t xml:space="preserve">estimate</w:t>
                  </w:r>
                </w:p>
              </w:tc>
              <w:tc>
                <w:tcPr/>
                <w:p>
                  <w:pPr>
                    <w:pStyle w:val="Compact"/>
                    <w:jc w:val="left"/>
                    <w:jc w:val="center"/>
                  </w:pPr>
                  <w:r>
                    <w:t xml:space="preserve">SE</w:t>
                  </w:r>
                </w:p>
              </w:tc>
              <w:tc>
                <w:tcPr/>
                <w:p>
                  <w:pPr>
                    <w:pStyle w:val="Compact"/>
                    <w:jc w:val="left"/>
                    <w:jc w:val="center"/>
                  </w:pPr>
                  <w:r>
                    <w:t xml:space="preserve">df</w:t>
                  </w:r>
                </w:p>
              </w:tc>
              <w:tc>
                <w:tcPr/>
                <w:p>
                  <w:pPr>
                    <w:pStyle w:val="Compact"/>
                    <w:jc w:val="left"/>
                    <w:jc w:val="center"/>
                  </w:pPr>
                  <w:r>
                    <w:t xml:space="preserve">asymp.LCL</w:t>
                  </w:r>
                </w:p>
              </w:tc>
              <w:tc>
                <w:tcPr/>
                <w:p>
                  <w:pPr>
                    <w:pStyle w:val="Compact"/>
                    <w:jc w:val="left"/>
                    <w:jc w:val="center"/>
                  </w:pPr>
                  <w:r>
                    <w:t xml:space="preserve">asymp.UCL</w:t>
                  </w:r>
                </w:p>
              </w:tc>
            </w:tr>
            <w:tr>
              <w:tc>
                <w:tcPr/>
                <w:p>
                  <w:pPr>
                    <w:pStyle w:val="Compact"/>
                    <w:jc w:val="left"/>
                    <w:jc w:val="center"/>
                  </w:pPr>
                  <w:r>
                    <w:t xml:space="preserve">dufflitter</w:t>
                  </w:r>
                </w:p>
              </w:tc>
              <w:tc>
                <w:tcPr/>
                <w:p>
                  <w:pPr>
                    <w:pStyle w:val="Compact"/>
                    <w:jc w:val="left"/>
                    <w:jc w:val="center"/>
                  </w:pPr>
                  <w:r>
                    <w:t xml:space="preserve">gs</w:t>
                  </w:r>
                </w:p>
              </w:tc>
              <w:tc>
                <w:tcPr/>
                <w:p>
                  <w:pPr>
                    <w:pStyle w:val="Compact"/>
                    <w:jc w:val="left"/>
                    <w:jc w:val="center"/>
                  </w:pPr>
                  <w:r>
                    <w:t xml:space="preserve">47.93</w:t>
                  </w:r>
                </w:p>
              </w:tc>
              <w:tc>
                <w:tcPr/>
                <w:p>
                  <w:pPr>
                    <w:pStyle w:val="Compact"/>
                    <w:jc w:val="left"/>
                    <w:jc w:val="center"/>
                  </w:pPr>
                  <w:r>
                    <w:t xml:space="preserve">5.69</w:t>
                  </w:r>
                </w:p>
              </w:tc>
              <w:tc>
                <w:tcPr/>
                <w:p>
                  <w:pPr>
                    <w:pStyle w:val="Compact"/>
                    <w:jc w:val="left"/>
                    <w:jc w:val="center"/>
                  </w:pPr>
                  <w:r>
                    <w:t xml:space="preserve">Inf</w:t>
                  </w:r>
                </w:p>
              </w:tc>
              <w:tc>
                <w:tcPr/>
                <w:p>
                  <w:pPr>
                    <w:pStyle w:val="Compact"/>
                    <w:jc w:val="left"/>
                    <w:jc w:val="center"/>
                  </w:pPr>
                  <w:r>
                    <w:t xml:space="preserve">36.76</w:t>
                  </w:r>
                </w:p>
              </w:tc>
              <w:tc>
                <w:tcPr/>
                <w:p>
                  <w:pPr>
                    <w:pStyle w:val="Compact"/>
                    <w:jc w:val="left"/>
                    <w:jc w:val="center"/>
                  </w:pPr>
                  <w:r>
                    <w:t xml:space="preserve">59.09</w:t>
                  </w:r>
                </w:p>
              </w:tc>
            </w:tr>
            <w:tr>
              <w:tc>
                <w:tcPr/>
                <w:p>
                  <w:pPr>
                    <w:pStyle w:val="Compact"/>
                    <w:jc w:val="left"/>
                    <w:jc w:val="center"/>
                  </w:pPr>
                  <w:r>
                    <w:t xml:space="preserve">dufflitter</w:t>
                  </w:r>
                </w:p>
              </w:tc>
              <w:tc>
                <w:tcPr/>
                <w:p>
                  <w:pPr>
                    <w:pStyle w:val="Compact"/>
                    <w:jc w:val="left"/>
                    <w:jc w:val="center"/>
                  </w:pPr>
                  <w:r>
                    <w:t xml:space="preserve">ld</w:t>
                  </w:r>
                </w:p>
              </w:tc>
              <w:tc>
                <w:tcPr/>
                <w:p>
                  <w:pPr>
                    <w:pStyle w:val="Compact"/>
                    <w:jc w:val="left"/>
                    <w:jc w:val="center"/>
                  </w:pPr>
                  <w:r>
                    <w:t xml:space="preserve">45.09</w:t>
                  </w:r>
                </w:p>
              </w:tc>
              <w:tc>
                <w:tcPr/>
                <w:p>
                  <w:pPr>
                    <w:pStyle w:val="Compact"/>
                    <w:jc w:val="left"/>
                    <w:jc w:val="center"/>
                  </w:pPr>
                  <w:r>
                    <w:t xml:space="preserve">5.35</w:t>
                  </w:r>
                </w:p>
              </w:tc>
              <w:tc>
                <w:tcPr/>
                <w:p>
                  <w:pPr>
                    <w:pStyle w:val="Compact"/>
                    <w:jc w:val="left"/>
                    <w:jc w:val="center"/>
                  </w:pPr>
                  <w:r>
                    <w:t xml:space="preserve">Inf</w:t>
                  </w:r>
                </w:p>
              </w:tc>
              <w:tc>
                <w:tcPr/>
                <w:p>
                  <w:pPr>
                    <w:pStyle w:val="Compact"/>
                    <w:jc w:val="left"/>
                    <w:jc w:val="center"/>
                  </w:pPr>
                  <w:r>
                    <w:t xml:space="preserve">34.6</w:t>
                  </w:r>
                </w:p>
              </w:tc>
              <w:tc>
                <w:tcPr/>
                <w:p>
                  <w:pPr>
                    <w:pStyle w:val="Compact"/>
                    <w:jc w:val="left"/>
                    <w:jc w:val="center"/>
                  </w:pPr>
                  <w:r>
                    <w:t xml:space="preserve">55.59</w:t>
                  </w:r>
                </w:p>
              </w:tc>
            </w:tr>
            <w:tr>
              <w:tc>
                <w:tcPr/>
                <w:p>
                  <w:pPr>
                    <w:pStyle w:val="Compact"/>
                    <w:jc w:val="left"/>
                    <w:jc w:val="center"/>
                  </w:pPr>
                  <w:r>
                    <w:t xml:space="preserve">dufflitter</w:t>
                  </w:r>
                </w:p>
              </w:tc>
              <w:tc>
                <w:tcPr/>
                <w:p>
                  <w:pPr>
                    <w:pStyle w:val="Compact"/>
                    <w:jc w:val="left"/>
                    <w:jc w:val="center"/>
                  </w:pPr>
                  <w:r>
                    <w:t xml:space="preserve">ha</w:t>
                  </w:r>
                </w:p>
              </w:tc>
              <w:tc>
                <w:tcPr/>
                <w:p>
                  <w:pPr>
                    <w:pStyle w:val="Compact"/>
                    <w:jc w:val="left"/>
                    <w:jc w:val="center"/>
                  </w:pPr>
                  <w:r>
                    <w:t xml:space="preserve">40.01</w:t>
                  </w:r>
                </w:p>
              </w:tc>
              <w:tc>
                <w:tcPr/>
                <w:p>
                  <w:pPr>
                    <w:pStyle w:val="Compact"/>
                    <w:jc w:val="left"/>
                    <w:jc w:val="center"/>
                  </w:pPr>
                  <w:r>
                    <w:t xml:space="preserve">4.75</w:t>
                  </w:r>
                </w:p>
              </w:tc>
              <w:tc>
                <w:tcPr/>
                <w:p>
                  <w:pPr>
                    <w:pStyle w:val="Compact"/>
                    <w:jc w:val="left"/>
                    <w:jc w:val="center"/>
                  </w:pPr>
                  <w:r>
                    <w:t xml:space="preserve">Inf</w:t>
                  </w:r>
                </w:p>
              </w:tc>
              <w:tc>
                <w:tcPr/>
                <w:p>
                  <w:pPr>
                    <w:pStyle w:val="Compact"/>
                    <w:jc w:val="left"/>
                    <w:jc w:val="center"/>
                  </w:pPr>
                  <w:r>
                    <w:t xml:space="preserve">30.71</w:t>
                  </w:r>
                </w:p>
              </w:tc>
              <w:tc>
                <w:tcPr/>
                <w:p>
                  <w:pPr>
                    <w:pStyle w:val="Compact"/>
                    <w:jc w:val="left"/>
                    <w:jc w:val="center"/>
                  </w:pPr>
                  <w:r>
                    <w:t xml:space="preserve">49.32</w:t>
                  </w:r>
                </w:p>
              </w:tc>
            </w:tr>
            <w:tr>
              <w:tc>
                <w:tcPr/>
                <w:p>
                  <w:pPr>
                    <w:pStyle w:val="Compact"/>
                    <w:jc w:val="left"/>
                    <w:jc w:val="center"/>
                  </w:pPr>
                  <w:r>
                    <w:t xml:space="preserve">dufflitter</w:t>
                  </w:r>
                </w:p>
              </w:tc>
              <w:tc>
                <w:tcPr/>
                <w:p>
                  <w:pPr>
                    <w:pStyle w:val="Compact"/>
                    <w:jc w:val="left"/>
                    <w:jc w:val="center"/>
                  </w:pPr>
                  <w:r>
                    <w:t xml:space="preserve">hd</w:t>
                  </w:r>
                </w:p>
              </w:tc>
              <w:tc>
                <w:tcPr/>
                <w:p>
                  <w:pPr>
                    <w:pStyle w:val="Compact"/>
                    <w:jc w:val="left"/>
                    <w:jc w:val="center"/>
                  </w:pPr>
                  <w:r>
                    <w:t xml:space="preserve">54.4</w:t>
                  </w:r>
                </w:p>
              </w:tc>
              <w:tc>
                <w:tcPr/>
                <w:p>
                  <w:pPr>
                    <w:pStyle w:val="Compact"/>
                    <w:jc w:val="left"/>
                    <w:jc w:val="center"/>
                  </w:pPr>
                  <w:r>
                    <w:t xml:space="preserve">6.46</w:t>
                  </w:r>
                </w:p>
              </w:tc>
              <w:tc>
                <w:tcPr/>
                <w:p>
                  <w:pPr>
                    <w:pStyle w:val="Compact"/>
                    <w:jc w:val="left"/>
                    <w:jc w:val="center"/>
                  </w:pPr>
                  <w:r>
                    <w:t xml:space="preserve">Inf</w:t>
                  </w:r>
                </w:p>
              </w:tc>
              <w:tc>
                <w:tcPr/>
                <w:p>
                  <w:pPr>
                    <w:pStyle w:val="Compact"/>
                    <w:jc w:val="left"/>
                    <w:jc w:val="center"/>
                  </w:pPr>
                  <w:r>
                    <w:t xml:space="preserve">41.74</w:t>
                  </w:r>
                </w:p>
              </w:tc>
              <w:tc>
                <w:tcPr/>
                <w:p>
                  <w:pPr>
                    <w:pStyle w:val="Compact"/>
                    <w:jc w:val="left"/>
                    <w:jc w:val="center"/>
                  </w:pPr>
                  <w:r>
                    <w:t xml:space="preserve">67.06</w:t>
                  </w:r>
                </w:p>
              </w:tc>
            </w:tr>
            <w:tr>
              <w:tc>
                <w:tcPr/>
                <w:p>
                  <w:pPr>
                    <w:pStyle w:val="Compact"/>
                    <w:jc w:val="left"/>
                    <w:jc w:val="center"/>
                  </w:pPr>
                  <w:r>
                    <w:t xml:space="preserve">onehr</w:t>
                  </w:r>
                </w:p>
              </w:tc>
              <w:tc>
                <w:tcPr/>
                <w:p>
                  <w:pPr>
                    <w:pStyle w:val="Compact"/>
                    <w:jc w:val="left"/>
                    <w:jc w:val="center"/>
                  </w:pPr>
                  <w:r>
                    <w:t xml:space="preserve">gs</w:t>
                  </w:r>
                </w:p>
              </w:tc>
              <w:tc>
                <w:tcPr/>
                <w:p>
                  <w:pPr>
                    <w:pStyle w:val="Compact"/>
                    <w:jc w:val="left"/>
                    <w:jc w:val="center"/>
                  </w:pPr>
                  <w:r>
                    <w:t xml:space="preserve">0.55</w:t>
                  </w:r>
                </w:p>
              </w:tc>
              <w:tc>
                <w:tcPr/>
                <w:p>
                  <w:pPr>
                    <w:pStyle w:val="Compact"/>
                    <w:jc w:val="left"/>
                    <w:jc w:val="center"/>
                  </w:pPr>
                  <w:r>
                    <w:t xml:space="preserve">0.11</w:t>
                  </w:r>
                </w:p>
              </w:tc>
              <w:tc>
                <w:tcPr/>
                <w:p>
                  <w:pPr>
                    <w:pStyle w:val="Compact"/>
                    <w:jc w:val="left"/>
                    <w:jc w:val="center"/>
                  </w:pPr>
                  <w:r>
                    <w:t xml:space="preserve">Inf</w:t>
                  </w:r>
                </w:p>
              </w:tc>
              <w:tc>
                <w:tcPr/>
                <w:p>
                  <w:pPr>
                    <w:pStyle w:val="Compact"/>
                    <w:jc w:val="left"/>
                    <w:jc w:val="center"/>
                  </w:pPr>
                  <w:r>
                    <w:t xml:space="preserve">0.33</w:t>
                  </w:r>
                </w:p>
              </w:tc>
              <w:tc>
                <w:tcPr/>
                <w:p>
                  <w:pPr>
                    <w:pStyle w:val="Compact"/>
                    <w:jc w:val="left"/>
                    <w:jc w:val="center"/>
                  </w:pPr>
                  <w:r>
                    <w:t xml:space="preserve">0.77</w:t>
                  </w:r>
                </w:p>
              </w:tc>
            </w:tr>
            <w:tr>
              <w:tc>
                <w:tcPr/>
                <w:p>
                  <w:pPr>
                    <w:pStyle w:val="Compact"/>
                    <w:jc w:val="left"/>
                    <w:jc w:val="center"/>
                  </w:pPr>
                  <w:r>
                    <w:t xml:space="preserve">onehr</w:t>
                  </w:r>
                </w:p>
              </w:tc>
              <w:tc>
                <w:tcPr/>
                <w:p>
                  <w:pPr>
                    <w:pStyle w:val="Compact"/>
                    <w:jc w:val="left"/>
                    <w:jc w:val="center"/>
                  </w:pPr>
                  <w:r>
                    <w:t xml:space="preserve">ld</w:t>
                  </w:r>
                </w:p>
              </w:tc>
              <w:tc>
                <w:tcPr/>
                <w:p>
                  <w:pPr>
                    <w:pStyle w:val="Compact"/>
                    <w:jc w:val="left"/>
                    <w:jc w:val="center"/>
                  </w:pPr>
                  <w:r>
                    <w:t xml:space="preserve">0.66</w:t>
                  </w:r>
                </w:p>
              </w:tc>
              <w:tc>
                <w:tcPr/>
                <w:p>
                  <w:pPr>
                    <w:pStyle w:val="Compact"/>
                    <w:jc w:val="left"/>
                    <w:jc w:val="center"/>
                  </w:pPr>
                  <w:r>
                    <w:t xml:space="preserve">0.13</w:t>
                  </w:r>
                </w:p>
              </w:tc>
              <w:tc>
                <w:tcPr/>
                <w:p>
                  <w:pPr>
                    <w:pStyle w:val="Compact"/>
                    <w:jc w:val="left"/>
                    <w:jc w:val="center"/>
                  </w:pPr>
                  <w:r>
                    <w:t xml:space="preserve">Inf</w:t>
                  </w:r>
                </w:p>
              </w:tc>
              <w:tc>
                <w:tcPr/>
                <w:p>
                  <w:pPr>
                    <w:pStyle w:val="Compact"/>
                    <w:jc w:val="left"/>
                    <w:jc w:val="center"/>
                  </w:pPr>
                  <w:r>
                    <w:t xml:space="preserve">0.4</w:t>
                  </w:r>
                </w:p>
              </w:tc>
              <w:tc>
                <w:tcPr/>
                <w:p>
                  <w:pPr>
                    <w:pStyle w:val="Compact"/>
                    <w:jc w:val="left"/>
                    <w:jc w:val="center"/>
                  </w:pPr>
                  <w:r>
                    <w:t xml:space="preserve">0.92</w:t>
                  </w:r>
                </w:p>
              </w:tc>
            </w:tr>
            <w:tr>
              <w:tc>
                <w:tcPr/>
                <w:p>
                  <w:pPr>
                    <w:pStyle w:val="Compact"/>
                    <w:jc w:val="left"/>
                    <w:jc w:val="center"/>
                  </w:pPr>
                  <w:r>
                    <w:t xml:space="preserve">onehr</w:t>
                  </w:r>
                </w:p>
              </w:tc>
              <w:tc>
                <w:tcPr/>
                <w:p>
                  <w:pPr>
                    <w:pStyle w:val="Compact"/>
                    <w:jc w:val="left"/>
                    <w:jc w:val="center"/>
                  </w:pPr>
                  <w:r>
                    <w:t xml:space="preserve">ha</w:t>
                  </w:r>
                </w:p>
              </w:tc>
              <w:tc>
                <w:tcPr/>
                <w:p>
                  <w:pPr>
                    <w:pStyle w:val="Compact"/>
                    <w:jc w:val="left"/>
                    <w:jc w:val="center"/>
                  </w:pPr>
                  <w:r>
                    <w:t xml:space="preserve">1.2</w:t>
                  </w:r>
                </w:p>
              </w:tc>
              <w:tc>
                <w:tcPr/>
                <w:p>
                  <w:pPr>
                    <w:pStyle w:val="Compact"/>
                    <w:jc w:val="left"/>
                    <w:jc w:val="center"/>
                  </w:pPr>
                  <w:r>
                    <w:t xml:space="preserve">0.24</w:t>
                  </w:r>
                </w:p>
              </w:tc>
              <w:tc>
                <w:tcPr/>
                <w:p>
                  <w:pPr>
                    <w:pStyle w:val="Compact"/>
                    <w:jc w:val="left"/>
                    <w:jc w:val="center"/>
                  </w:pPr>
                  <w:r>
                    <w:t xml:space="preserve">Inf</w:t>
                  </w:r>
                </w:p>
              </w:tc>
              <w:tc>
                <w:tcPr/>
                <w:p>
                  <w:pPr>
                    <w:pStyle w:val="Compact"/>
                    <w:jc w:val="left"/>
                    <w:jc w:val="center"/>
                  </w:pPr>
                  <w:r>
                    <w:t xml:space="preserve">0.73</w:t>
                  </w:r>
                </w:p>
              </w:tc>
              <w:tc>
                <w:tcPr/>
                <w:p>
                  <w:pPr>
                    <w:pStyle w:val="Compact"/>
                    <w:jc w:val="left"/>
                    <w:jc w:val="center"/>
                  </w:pPr>
                  <w:r>
                    <w:t xml:space="preserve">1.68</w:t>
                  </w:r>
                </w:p>
              </w:tc>
            </w:tr>
            <w:tr>
              <w:tc>
                <w:tcPr/>
                <w:p>
                  <w:pPr>
                    <w:pStyle w:val="Compact"/>
                    <w:jc w:val="left"/>
                    <w:jc w:val="center"/>
                  </w:pPr>
                  <w:r>
                    <w:t xml:space="preserve">onehr</w:t>
                  </w:r>
                </w:p>
              </w:tc>
              <w:tc>
                <w:tcPr/>
                <w:p>
                  <w:pPr>
                    <w:pStyle w:val="Compact"/>
                    <w:jc w:val="left"/>
                    <w:jc w:val="center"/>
                  </w:pPr>
                  <w:r>
                    <w:t xml:space="preserve">hd</w:t>
                  </w:r>
                </w:p>
              </w:tc>
              <w:tc>
                <w:tcPr/>
                <w:p>
                  <w:pPr>
                    <w:pStyle w:val="Compact"/>
                    <w:jc w:val="left"/>
                    <w:jc w:val="center"/>
                  </w:pPr>
                  <w:r>
                    <w:t xml:space="preserve">1.01</w:t>
                  </w:r>
                </w:p>
              </w:tc>
              <w:tc>
                <w:tcPr/>
                <w:p>
                  <w:pPr>
                    <w:pStyle w:val="Compact"/>
                    <w:jc w:val="left"/>
                    <w:jc w:val="center"/>
                  </w:pPr>
                  <w:r>
                    <w:t xml:space="preserve">0.2</w:t>
                  </w:r>
                </w:p>
              </w:tc>
              <w:tc>
                <w:tcPr/>
                <w:p>
                  <w:pPr>
                    <w:pStyle w:val="Compact"/>
                    <w:jc w:val="left"/>
                    <w:jc w:val="center"/>
                  </w:pPr>
                  <w:r>
                    <w:t xml:space="preserve">Inf</w:t>
                  </w:r>
                </w:p>
              </w:tc>
              <w:tc>
                <w:tcPr/>
                <w:p>
                  <w:pPr>
                    <w:pStyle w:val="Compact"/>
                    <w:jc w:val="left"/>
                    <w:jc w:val="center"/>
                  </w:pPr>
                  <w:r>
                    <w:t xml:space="preserve">0.61</w:t>
                  </w:r>
                </w:p>
              </w:tc>
              <w:tc>
                <w:tcPr/>
                <w:p>
                  <w:pPr>
                    <w:pStyle w:val="Compact"/>
                    <w:jc w:val="left"/>
                    <w:jc w:val="center"/>
                  </w:pPr>
                  <w:r>
                    <w:t xml:space="preserve">1.41</w:t>
                  </w:r>
                </w:p>
              </w:tc>
            </w:tr>
            <w:tr>
              <w:tc>
                <w:tcPr/>
                <w:p>
                  <w:pPr>
                    <w:pStyle w:val="Compact"/>
                    <w:jc w:val="left"/>
                    <w:jc w:val="center"/>
                  </w:pPr>
                  <w:r>
                    <w:t xml:space="preserve">tenhr</w:t>
                  </w:r>
                </w:p>
              </w:tc>
              <w:tc>
                <w:tcPr/>
                <w:p>
                  <w:pPr>
                    <w:pStyle w:val="Compact"/>
                    <w:jc w:val="left"/>
                    <w:jc w:val="center"/>
                  </w:pPr>
                  <w:r>
                    <w:t xml:space="preserve">gs</w:t>
                  </w:r>
                </w:p>
              </w:tc>
              <w:tc>
                <w:tcPr/>
                <w:p>
                  <w:pPr>
                    <w:pStyle w:val="Compact"/>
                    <w:jc w:val="left"/>
                    <w:jc w:val="center"/>
                  </w:pPr>
                  <w:r>
                    <w:t xml:space="preserve">3.71</w:t>
                  </w:r>
                </w:p>
              </w:tc>
              <w:tc>
                <w:tcPr/>
                <w:p>
                  <w:pPr>
                    <w:pStyle w:val="Compact"/>
                    <w:jc w:val="left"/>
                    <w:jc w:val="center"/>
                  </w:pPr>
                  <w:r>
                    <w:t xml:space="preserve">0.65</w:t>
                  </w:r>
                </w:p>
              </w:tc>
              <w:tc>
                <w:tcPr/>
                <w:p>
                  <w:pPr>
                    <w:pStyle w:val="Compact"/>
                    <w:jc w:val="left"/>
                    <w:jc w:val="center"/>
                  </w:pPr>
                  <w:r>
                    <w:t xml:space="preserve">Inf</w:t>
                  </w:r>
                </w:p>
              </w:tc>
              <w:tc>
                <w:tcPr/>
                <w:p>
                  <w:pPr>
                    <w:pStyle w:val="Compact"/>
                    <w:jc w:val="left"/>
                    <w:jc w:val="center"/>
                  </w:pPr>
                  <w:r>
                    <w:t xml:space="preserve">2.43</w:t>
                  </w:r>
                </w:p>
              </w:tc>
              <w:tc>
                <w:tcPr/>
                <w:p>
                  <w:pPr>
                    <w:pStyle w:val="Compact"/>
                    <w:jc w:val="left"/>
                    <w:jc w:val="center"/>
                  </w:pPr>
                  <w:r>
                    <w:t xml:space="preserve">4.98</w:t>
                  </w:r>
                </w:p>
              </w:tc>
            </w:tr>
            <w:tr>
              <w:tc>
                <w:tcPr/>
                <w:p>
                  <w:pPr>
                    <w:pStyle w:val="Compact"/>
                    <w:jc w:val="left"/>
                    <w:jc w:val="center"/>
                  </w:pPr>
                  <w:r>
                    <w:t xml:space="preserve">tenhr</w:t>
                  </w:r>
                </w:p>
              </w:tc>
              <w:tc>
                <w:tcPr/>
                <w:p>
                  <w:pPr>
                    <w:pStyle w:val="Compact"/>
                    <w:jc w:val="left"/>
                    <w:jc w:val="center"/>
                  </w:pPr>
                  <w:r>
                    <w:t xml:space="preserve">ld</w:t>
                  </w:r>
                </w:p>
              </w:tc>
              <w:tc>
                <w:tcPr/>
                <w:p>
                  <w:pPr>
                    <w:pStyle w:val="Compact"/>
                    <w:jc w:val="left"/>
                    <w:jc w:val="center"/>
                  </w:pPr>
                  <w:r>
                    <w:t xml:space="preserve">3.31</w:t>
                  </w:r>
                </w:p>
              </w:tc>
              <w:tc>
                <w:tcPr/>
                <w:p>
                  <w:pPr>
                    <w:pStyle w:val="Compact"/>
                    <w:jc w:val="left"/>
                    <w:jc w:val="center"/>
                  </w:pPr>
                  <w:r>
                    <w:t xml:space="preserve">0.52</w:t>
                  </w:r>
                </w:p>
              </w:tc>
              <w:tc>
                <w:tcPr/>
                <w:p>
                  <w:pPr>
                    <w:pStyle w:val="Compact"/>
                    <w:jc w:val="left"/>
                    <w:jc w:val="center"/>
                  </w:pPr>
                  <w:r>
                    <w:t xml:space="preserve">Inf</w:t>
                  </w:r>
                </w:p>
              </w:tc>
              <w:tc>
                <w:tcPr/>
                <w:p>
                  <w:pPr>
                    <w:pStyle w:val="Compact"/>
                    <w:jc w:val="left"/>
                    <w:jc w:val="center"/>
                  </w:pPr>
                  <w:r>
                    <w:t xml:space="preserve">2.3</w:t>
                  </w:r>
                </w:p>
              </w:tc>
              <w:tc>
                <w:tcPr/>
                <w:p>
                  <w:pPr>
                    <w:pStyle w:val="Compact"/>
                    <w:jc w:val="left"/>
                    <w:jc w:val="center"/>
                  </w:pPr>
                  <w:r>
                    <w:t xml:space="preserve">4.32</w:t>
                  </w:r>
                </w:p>
              </w:tc>
            </w:tr>
            <w:tr>
              <w:tc>
                <w:tcPr/>
                <w:p>
                  <w:pPr>
                    <w:pStyle w:val="Compact"/>
                    <w:jc w:val="left"/>
                    <w:jc w:val="center"/>
                  </w:pPr>
                  <w:r>
                    <w:t xml:space="preserve">tenhr</w:t>
                  </w:r>
                </w:p>
              </w:tc>
              <w:tc>
                <w:tcPr/>
                <w:p>
                  <w:pPr>
                    <w:pStyle w:val="Compact"/>
                    <w:jc w:val="left"/>
                    <w:jc w:val="center"/>
                  </w:pPr>
                  <w:r>
                    <w:t xml:space="preserve">ha</w:t>
                  </w:r>
                </w:p>
              </w:tc>
              <w:tc>
                <w:tcPr/>
                <w:p>
                  <w:pPr>
                    <w:pStyle w:val="Compact"/>
                    <w:jc w:val="left"/>
                    <w:jc w:val="center"/>
                  </w:pPr>
                  <w:r>
                    <w:t xml:space="preserve">2.9</w:t>
                  </w:r>
                </w:p>
              </w:tc>
              <w:tc>
                <w:tcPr/>
                <w:p>
                  <w:pPr>
                    <w:pStyle w:val="Compact"/>
                    <w:jc w:val="left"/>
                    <w:jc w:val="center"/>
                  </w:pPr>
                  <w:r>
                    <w:t xml:space="preserve">0.63</w:t>
                  </w:r>
                </w:p>
              </w:tc>
              <w:tc>
                <w:tcPr/>
                <w:p>
                  <w:pPr>
                    <w:pStyle w:val="Compact"/>
                    <w:jc w:val="left"/>
                    <w:jc w:val="center"/>
                  </w:pPr>
                  <w:r>
                    <w:t xml:space="preserve">Inf</w:t>
                  </w:r>
                </w:p>
              </w:tc>
              <w:tc>
                <w:tcPr/>
                <w:p>
                  <w:pPr>
                    <w:pStyle w:val="Compact"/>
                    <w:jc w:val="left"/>
                    <w:jc w:val="center"/>
                  </w:pPr>
                  <w:r>
                    <w:t xml:space="preserve">1.68</w:t>
                  </w:r>
                </w:p>
              </w:tc>
              <w:tc>
                <w:tcPr/>
                <w:p>
                  <w:pPr>
                    <w:pStyle w:val="Compact"/>
                    <w:jc w:val="left"/>
                    <w:jc w:val="center"/>
                  </w:pPr>
                  <w:r>
                    <w:t xml:space="preserve">4.13</w:t>
                  </w:r>
                </w:p>
              </w:tc>
            </w:tr>
            <w:tr>
              <w:tc>
                <w:tcPr/>
                <w:p>
                  <w:pPr>
                    <w:pStyle w:val="Compact"/>
                    <w:jc w:val="left"/>
                    <w:jc w:val="center"/>
                  </w:pPr>
                  <w:r>
                    <w:t xml:space="preserve">tenhr</w:t>
                  </w:r>
                </w:p>
              </w:tc>
              <w:tc>
                <w:tcPr/>
                <w:p>
                  <w:pPr>
                    <w:pStyle w:val="Compact"/>
                    <w:jc w:val="left"/>
                    <w:jc w:val="center"/>
                  </w:pPr>
                  <w:r>
                    <w:t xml:space="preserve">hd</w:t>
                  </w:r>
                </w:p>
              </w:tc>
              <w:tc>
                <w:tcPr/>
                <w:p>
                  <w:pPr>
                    <w:pStyle w:val="Compact"/>
                    <w:jc w:val="left"/>
                    <w:jc w:val="center"/>
                  </w:pPr>
                  <w:r>
                    <w:t xml:space="preserve">2.91</w:t>
                  </w:r>
                </w:p>
              </w:tc>
              <w:tc>
                <w:tcPr/>
                <w:p>
                  <w:pPr>
                    <w:pStyle w:val="Compact"/>
                    <w:jc w:val="left"/>
                    <w:jc w:val="center"/>
                  </w:pPr>
                  <w:r>
                    <w:t xml:space="preserve">0.45</w:t>
                  </w:r>
                </w:p>
              </w:tc>
              <w:tc>
                <w:tcPr/>
                <w:p>
                  <w:pPr>
                    <w:pStyle w:val="Compact"/>
                    <w:jc w:val="left"/>
                    <w:jc w:val="center"/>
                  </w:pPr>
                  <w:r>
                    <w:t xml:space="preserve">Inf</w:t>
                  </w:r>
                </w:p>
              </w:tc>
              <w:tc>
                <w:tcPr/>
                <w:p>
                  <w:pPr>
                    <w:pStyle w:val="Compact"/>
                    <w:jc w:val="left"/>
                    <w:jc w:val="center"/>
                  </w:pPr>
                  <w:r>
                    <w:t xml:space="preserve">2.04</w:t>
                  </w:r>
                </w:p>
              </w:tc>
              <w:tc>
                <w:tcPr/>
                <w:p>
                  <w:pPr>
                    <w:pStyle w:val="Compact"/>
                    <w:jc w:val="left"/>
                    <w:jc w:val="center"/>
                  </w:pPr>
                  <w:r>
                    <w:t xml:space="preserve">3.79</w:t>
                  </w:r>
                </w:p>
              </w:tc>
            </w:tr>
            <w:tr>
              <w:tc>
                <w:tcPr/>
                <w:p>
                  <w:pPr>
                    <w:pStyle w:val="Compact"/>
                    <w:jc w:val="left"/>
                    <w:jc w:val="center"/>
                  </w:pPr>
                  <w:r>
                    <w:t xml:space="preserve">hundhr</w:t>
                  </w:r>
                </w:p>
              </w:tc>
              <w:tc>
                <w:tcPr/>
                <w:p>
                  <w:pPr>
                    <w:pStyle w:val="Compact"/>
                    <w:jc w:val="left"/>
                    <w:jc w:val="center"/>
                  </w:pPr>
                  <w:r>
                    <w:t xml:space="preserve">gs</w:t>
                  </w:r>
                </w:p>
              </w:tc>
              <w:tc>
                <w:tcPr/>
                <w:p>
                  <w:pPr>
                    <w:pStyle w:val="Compact"/>
                    <w:jc w:val="left"/>
                    <w:jc w:val="center"/>
                  </w:pPr>
                  <w:r>
                    <w:t xml:space="preserve">11.17</w:t>
                  </w:r>
                </w:p>
              </w:tc>
              <w:tc>
                <w:tcPr/>
                <w:p>
                  <w:pPr>
                    <w:pStyle w:val="Compact"/>
                    <w:jc w:val="left"/>
                    <w:jc w:val="center"/>
                  </w:pPr>
                  <w:r>
                    <w:t xml:space="preserve">1.92</w:t>
                  </w:r>
                </w:p>
              </w:tc>
              <w:tc>
                <w:tcPr/>
                <w:p>
                  <w:pPr>
                    <w:pStyle w:val="Compact"/>
                    <w:jc w:val="left"/>
                    <w:jc w:val="center"/>
                  </w:pPr>
                  <w:r>
                    <w:t xml:space="preserve">Inf</w:t>
                  </w:r>
                </w:p>
              </w:tc>
              <w:tc>
                <w:tcPr/>
                <w:p>
                  <w:pPr>
                    <w:pStyle w:val="Compact"/>
                    <w:jc w:val="left"/>
                    <w:jc w:val="center"/>
                  </w:pPr>
                  <w:r>
                    <w:t xml:space="preserve">7.41</w:t>
                  </w:r>
                </w:p>
              </w:tc>
              <w:tc>
                <w:tcPr/>
                <w:p>
                  <w:pPr>
                    <w:pStyle w:val="Compact"/>
                    <w:jc w:val="left"/>
                    <w:jc w:val="center"/>
                  </w:pPr>
                  <w:r>
                    <w:t xml:space="preserve">14.93</w:t>
                  </w:r>
                </w:p>
              </w:tc>
            </w:tr>
            <w:tr>
              <w:tc>
                <w:tcPr/>
                <w:p>
                  <w:pPr>
                    <w:pStyle w:val="Compact"/>
                    <w:jc w:val="left"/>
                    <w:jc w:val="center"/>
                  </w:pPr>
                  <w:r>
                    <w:t xml:space="preserve">hundhr</w:t>
                  </w:r>
                </w:p>
              </w:tc>
              <w:tc>
                <w:tcPr/>
                <w:p>
                  <w:pPr>
                    <w:pStyle w:val="Compact"/>
                    <w:jc w:val="left"/>
                    <w:jc w:val="center"/>
                  </w:pPr>
                  <w:r>
                    <w:t xml:space="preserve">ld</w:t>
                  </w:r>
                </w:p>
              </w:tc>
              <w:tc>
                <w:tcPr/>
                <w:p>
                  <w:pPr>
                    <w:pStyle w:val="Compact"/>
                    <w:jc w:val="left"/>
                    <w:jc w:val="center"/>
                  </w:pPr>
                  <w:r>
                    <w:t xml:space="preserve">10.03</w:t>
                  </w:r>
                </w:p>
              </w:tc>
              <w:tc>
                <w:tcPr/>
                <w:p>
                  <w:pPr>
                    <w:pStyle w:val="Compact"/>
                    <w:jc w:val="left"/>
                    <w:jc w:val="center"/>
                  </w:pPr>
                  <w:r>
                    <w:t xml:space="preserve">1.76</w:t>
                  </w:r>
                </w:p>
              </w:tc>
              <w:tc>
                <w:tcPr/>
                <w:p>
                  <w:pPr>
                    <w:pStyle w:val="Compact"/>
                    <w:jc w:val="left"/>
                    <w:jc w:val="center"/>
                  </w:pPr>
                  <w:r>
                    <w:t xml:space="preserve">Inf</w:t>
                  </w:r>
                </w:p>
              </w:tc>
              <w:tc>
                <w:tcPr/>
                <w:p>
                  <w:pPr>
                    <w:pStyle w:val="Compact"/>
                    <w:jc w:val="left"/>
                    <w:jc w:val="center"/>
                  </w:pPr>
                  <w:r>
                    <w:t xml:space="preserve">6.58</w:t>
                  </w:r>
                </w:p>
              </w:tc>
              <w:tc>
                <w:tcPr/>
                <w:p>
                  <w:pPr>
                    <w:pStyle w:val="Compact"/>
                    <w:jc w:val="left"/>
                    <w:jc w:val="center"/>
                  </w:pPr>
                  <w:r>
                    <w:t xml:space="preserve">13.47</w:t>
                  </w:r>
                </w:p>
              </w:tc>
            </w:tr>
            <w:tr>
              <w:tc>
                <w:tcPr/>
                <w:p>
                  <w:pPr>
                    <w:pStyle w:val="Compact"/>
                    <w:jc w:val="left"/>
                    <w:jc w:val="center"/>
                  </w:pPr>
                  <w:r>
                    <w:t xml:space="preserve">hundhr</w:t>
                  </w:r>
                </w:p>
              </w:tc>
              <w:tc>
                <w:tcPr/>
                <w:p>
                  <w:pPr>
                    <w:pStyle w:val="Compact"/>
                    <w:jc w:val="left"/>
                    <w:jc w:val="center"/>
                  </w:pPr>
                  <w:r>
                    <w:t xml:space="preserve">ha</w:t>
                  </w:r>
                </w:p>
              </w:tc>
              <w:tc>
                <w:tcPr/>
                <w:p>
                  <w:pPr>
                    <w:pStyle w:val="Compact"/>
                    <w:jc w:val="left"/>
                    <w:jc w:val="center"/>
                  </w:pPr>
                  <w:r>
                    <w:t xml:space="preserve">8.9</w:t>
                  </w:r>
                </w:p>
              </w:tc>
              <w:tc>
                <w:tcPr/>
                <w:p>
                  <w:pPr>
                    <w:pStyle w:val="Compact"/>
                    <w:jc w:val="left"/>
                    <w:jc w:val="center"/>
                  </w:pPr>
                  <w:r>
                    <w:t xml:space="preserve">1.52</w:t>
                  </w:r>
                </w:p>
              </w:tc>
              <w:tc>
                <w:tcPr/>
                <w:p>
                  <w:pPr>
                    <w:pStyle w:val="Compact"/>
                    <w:jc w:val="left"/>
                    <w:jc w:val="center"/>
                  </w:pPr>
                  <w:r>
                    <w:t xml:space="preserve">Inf</w:t>
                  </w:r>
                </w:p>
              </w:tc>
              <w:tc>
                <w:tcPr/>
                <w:p>
                  <w:pPr>
                    <w:pStyle w:val="Compact"/>
                    <w:jc w:val="left"/>
                    <w:jc w:val="center"/>
                  </w:pPr>
                  <w:r>
                    <w:t xml:space="preserve">5.92</w:t>
                  </w:r>
                </w:p>
              </w:tc>
              <w:tc>
                <w:tcPr/>
                <w:p>
                  <w:pPr>
                    <w:pStyle w:val="Compact"/>
                    <w:jc w:val="left"/>
                    <w:jc w:val="center"/>
                  </w:pPr>
                  <w:r>
                    <w:t xml:space="preserve">11.88</w:t>
                  </w:r>
                </w:p>
              </w:tc>
            </w:tr>
            <w:tr>
              <w:tc>
                <w:tcPr/>
                <w:p>
                  <w:pPr>
                    <w:pStyle w:val="Compact"/>
                    <w:jc w:val="left"/>
                    <w:jc w:val="center"/>
                  </w:pPr>
                  <w:r>
                    <w:t xml:space="preserve">hundhr</w:t>
                  </w:r>
                </w:p>
              </w:tc>
              <w:tc>
                <w:tcPr/>
                <w:p>
                  <w:pPr>
                    <w:pStyle w:val="Compact"/>
                    <w:jc w:val="left"/>
                    <w:jc w:val="center"/>
                  </w:pPr>
                  <w:r>
                    <w:t xml:space="preserve">hd</w:t>
                  </w:r>
                </w:p>
              </w:tc>
              <w:tc>
                <w:tcPr/>
                <w:p>
                  <w:pPr>
                    <w:pStyle w:val="Compact"/>
                    <w:jc w:val="left"/>
                    <w:jc w:val="center"/>
                  </w:pPr>
                  <w:r>
                    <w:t xml:space="preserve">8.76</w:t>
                  </w:r>
                </w:p>
              </w:tc>
              <w:tc>
                <w:tcPr/>
                <w:p>
                  <w:pPr>
                    <w:pStyle w:val="Compact"/>
                    <w:jc w:val="left"/>
                    <w:jc w:val="center"/>
                  </w:pPr>
                  <w:r>
                    <w:t xml:space="preserve">1.49</w:t>
                  </w:r>
                </w:p>
              </w:tc>
              <w:tc>
                <w:tcPr/>
                <w:p>
                  <w:pPr>
                    <w:pStyle w:val="Compact"/>
                    <w:jc w:val="left"/>
                    <w:jc w:val="center"/>
                  </w:pPr>
                  <w:r>
                    <w:t xml:space="preserve">Inf</w:t>
                  </w:r>
                </w:p>
              </w:tc>
              <w:tc>
                <w:tcPr/>
                <w:p>
                  <w:pPr>
                    <w:pStyle w:val="Compact"/>
                    <w:jc w:val="left"/>
                    <w:jc w:val="center"/>
                  </w:pPr>
                  <w:r>
                    <w:t xml:space="preserve">5.84</w:t>
                  </w:r>
                </w:p>
              </w:tc>
              <w:tc>
                <w:tcPr/>
                <w:p>
                  <w:pPr>
                    <w:pStyle w:val="Compact"/>
                    <w:jc w:val="left"/>
                    <w:jc w:val="center"/>
                  </w:pPr>
                  <w:r>
                    <w:t xml:space="preserve">11.69</w:t>
                  </w:r>
                </w:p>
              </w:tc>
            </w:tr>
            <w:tr>
              <w:tc>
                <w:tcPr/>
                <w:p>
                  <w:pPr>
                    <w:pStyle w:val="Compact"/>
                    <w:jc w:val="left"/>
                    <w:jc w:val="center"/>
                  </w:pPr>
                  <w:r>
                    <w:t xml:space="preserve">thoushr</w:t>
                  </w:r>
                </w:p>
              </w:tc>
              <w:tc>
                <w:tcPr/>
                <w:p>
                  <w:pPr>
                    <w:pStyle w:val="Compact"/>
                    <w:jc w:val="left"/>
                    <w:jc w:val="center"/>
                  </w:pPr>
                  <w:r>
                    <w:t xml:space="preserve">gs</w:t>
                  </w:r>
                </w:p>
              </w:tc>
              <w:tc>
                <w:tcPr/>
                <w:p>
                  <w:pPr>
                    <w:pStyle w:val="Compact"/>
                    <w:jc w:val="left"/>
                    <w:jc w:val="center"/>
                  </w:pPr>
                  <w:r>
                    <w:t xml:space="preserve">43.08</w:t>
                  </w:r>
                </w:p>
              </w:tc>
              <w:tc>
                <w:tcPr/>
                <w:p>
                  <w:pPr>
                    <w:pStyle w:val="Compact"/>
                    <w:jc w:val="left"/>
                    <w:jc w:val="center"/>
                  </w:pPr>
                  <w:r>
                    <w:t xml:space="preserve">13.84</w:t>
                  </w:r>
                </w:p>
              </w:tc>
              <w:tc>
                <w:tcPr/>
                <w:p>
                  <w:pPr>
                    <w:pStyle w:val="Compact"/>
                    <w:jc w:val="left"/>
                    <w:jc w:val="center"/>
                  </w:pPr>
                  <w:r>
                    <w:t xml:space="preserve">Inf</w:t>
                  </w:r>
                </w:p>
              </w:tc>
              <w:tc>
                <w:tcPr/>
                <w:p>
                  <w:pPr>
                    <w:pStyle w:val="Compact"/>
                    <w:jc w:val="left"/>
                    <w:jc w:val="center"/>
                  </w:pPr>
                  <w:r>
                    <w:t xml:space="preserve">15.95</w:t>
                  </w:r>
                </w:p>
              </w:tc>
              <w:tc>
                <w:tcPr/>
                <w:p>
                  <w:pPr>
                    <w:pStyle w:val="Compact"/>
                    <w:jc w:val="left"/>
                    <w:jc w:val="center"/>
                  </w:pPr>
                  <w:r>
                    <w:t xml:space="preserve">70.22</w:t>
                  </w:r>
                </w:p>
              </w:tc>
            </w:tr>
            <w:tr>
              <w:tc>
                <w:tcPr/>
                <w:p>
                  <w:pPr>
                    <w:pStyle w:val="Compact"/>
                    <w:jc w:val="left"/>
                    <w:jc w:val="center"/>
                  </w:pPr>
                  <w:r>
                    <w:t xml:space="preserve">thoushr</w:t>
                  </w:r>
                </w:p>
              </w:tc>
              <w:tc>
                <w:tcPr/>
                <w:p>
                  <w:pPr>
                    <w:pStyle w:val="Compact"/>
                    <w:jc w:val="left"/>
                    <w:jc w:val="center"/>
                  </w:pPr>
                  <w:r>
                    <w:t xml:space="preserve">ld</w:t>
                  </w:r>
                </w:p>
              </w:tc>
              <w:tc>
                <w:tcPr/>
                <w:p>
                  <w:pPr>
                    <w:pStyle w:val="Compact"/>
                    <w:jc w:val="left"/>
                    <w:jc w:val="center"/>
                  </w:pPr>
                  <w:r>
                    <w:t xml:space="preserve">26.25</w:t>
                  </w:r>
                </w:p>
              </w:tc>
              <w:tc>
                <w:tcPr/>
                <w:p>
                  <w:pPr>
                    <w:pStyle w:val="Compact"/>
                    <w:jc w:val="left"/>
                    <w:jc w:val="center"/>
                  </w:pPr>
                  <w:r>
                    <w:t xml:space="preserve">8.58</w:t>
                  </w:r>
                </w:p>
              </w:tc>
              <w:tc>
                <w:tcPr/>
                <w:p>
                  <w:pPr>
                    <w:pStyle w:val="Compact"/>
                    <w:jc w:val="left"/>
                    <w:jc w:val="center"/>
                  </w:pPr>
                  <w:r>
                    <w:t xml:space="preserve">Inf</w:t>
                  </w:r>
                </w:p>
              </w:tc>
              <w:tc>
                <w:tcPr/>
                <w:p>
                  <w:pPr>
                    <w:pStyle w:val="Compact"/>
                    <w:jc w:val="left"/>
                    <w:jc w:val="center"/>
                  </w:pPr>
                  <w:r>
                    <w:t xml:space="preserve">9.43</w:t>
                  </w:r>
                </w:p>
              </w:tc>
              <w:tc>
                <w:tcPr/>
                <w:p>
                  <w:pPr>
                    <w:pStyle w:val="Compact"/>
                    <w:jc w:val="left"/>
                    <w:jc w:val="center"/>
                  </w:pPr>
                  <w:r>
                    <w:t xml:space="preserve">43.06</w:t>
                  </w:r>
                </w:p>
              </w:tc>
            </w:tr>
            <w:tr>
              <w:tc>
                <w:tcPr/>
                <w:p>
                  <w:pPr>
                    <w:pStyle w:val="Compact"/>
                    <w:jc w:val="left"/>
                    <w:jc w:val="center"/>
                  </w:pPr>
                  <w:r>
                    <w:t xml:space="preserve">thoushr</w:t>
                  </w:r>
                </w:p>
              </w:tc>
              <w:tc>
                <w:tcPr/>
                <w:p>
                  <w:pPr>
                    <w:pStyle w:val="Compact"/>
                    <w:jc w:val="left"/>
                    <w:jc w:val="center"/>
                  </w:pPr>
                  <w:r>
                    <w:t xml:space="preserve">ha</w:t>
                  </w:r>
                </w:p>
              </w:tc>
              <w:tc>
                <w:tcPr/>
                <w:p>
                  <w:pPr>
                    <w:pStyle w:val="Compact"/>
                    <w:jc w:val="left"/>
                    <w:jc w:val="center"/>
                  </w:pPr>
                  <w:r>
                    <w:t xml:space="preserve">28.06</w:t>
                  </w:r>
                </w:p>
              </w:tc>
              <w:tc>
                <w:tcPr/>
                <w:p>
                  <w:pPr>
                    <w:pStyle w:val="Compact"/>
                    <w:jc w:val="left"/>
                    <w:jc w:val="center"/>
                  </w:pPr>
                  <w:r>
                    <w:t xml:space="preserve">9.58</w:t>
                  </w:r>
                </w:p>
              </w:tc>
              <w:tc>
                <w:tcPr/>
                <w:p>
                  <w:pPr>
                    <w:pStyle w:val="Compact"/>
                    <w:jc w:val="left"/>
                    <w:jc w:val="center"/>
                  </w:pPr>
                  <w:r>
                    <w:t xml:space="preserve">Inf</w:t>
                  </w:r>
                </w:p>
              </w:tc>
              <w:tc>
                <w:tcPr/>
                <w:p>
                  <w:pPr>
                    <w:pStyle w:val="Compact"/>
                    <w:jc w:val="left"/>
                    <w:jc w:val="center"/>
                  </w:pPr>
                  <w:r>
                    <w:t xml:space="preserve">9.29</w:t>
                  </w:r>
                </w:p>
              </w:tc>
              <w:tc>
                <w:tcPr/>
                <w:p>
                  <w:pPr>
                    <w:pStyle w:val="Compact"/>
                    <w:jc w:val="left"/>
                    <w:jc w:val="center"/>
                  </w:pPr>
                  <w:r>
                    <w:t xml:space="preserve">46.83</w:t>
                  </w:r>
                </w:p>
              </w:tc>
            </w:tr>
            <w:tr>
              <w:tc>
                <w:tcPr/>
                <w:p>
                  <w:pPr>
                    <w:pStyle w:val="Compact"/>
                    <w:jc w:val="left"/>
                    <w:jc w:val="center"/>
                  </w:pPr>
                  <w:r>
                    <w:t xml:space="preserve">thoushr</w:t>
                  </w:r>
                </w:p>
              </w:tc>
              <w:tc>
                <w:tcPr/>
                <w:p>
                  <w:pPr>
                    <w:pStyle w:val="Compact"/>
                    <w:jc w:val="left"/>
                    <w:jc w:val="center"/>
                  </w:pPr>
                  <w:r>
                    <w:t xml:space="preserve">hd</w:t>
                  </w:r>
                </w:p>
              </w:tc>
              <w:tc>
                <w:tcPr/>
                <w:p>
                  <w:pPr>
                    <w:pStyle w:val="Compact"/>
                    <w:jc w:val="left"/>
                    <w:jc w:val="center"/>
                  </w:pPr>
                  <w:r>
                    <w:t xml:space="preserve">39.75</w:t>
                  </w:r>
                </w:p>
              </w:tc>
              <w:tc>
                <w:tcPr/>
                <w:p>
                  <w:pPr>
                    <w:pStyle w:val="Compact"/>
                    <w:jc w:val="left"/>
                    <w:jc w:val="center"/>
                  </w:pPr>
                  <w:r>
                    <w:t xml:space="preserve">12.94</w:t>
                  </w:r>
                </w:p>
              </w:tc>
              <w:tc>
                <w:tcPr/>
                <w:p>
                  <w:pPr>
                    <w:pStyle w:val="Compact"/>
                    <w:jc w:val="left"/>
                    <w:jc w:val="center"/>
                  </w:pPr>
                  <w:r>
                    <w:t xml:space="preserve">Inf</w:t>
                  </w:r>
                </w:p>
              </w:tc>
              <w:tc>
                <w:tcPr/>
                <w:p>
                  <w:pPr>
                    <w:pStyle w:val="Compact"/>
                    <w:jc w:val="left"/>
                    <w:jc w:val="center"/>
                  </w:pPr>
                  <w:r>
                    <w:t xml:space="preserve">14.38</w:t>
                  </w:r>
                </w:p>
              </w:tc>
              <w:tc>
                <w:tcPr/>
                <w:p>
                  <w:pPr>
                    <w:pStyle w:val="Compact"/>
                    <w:jc w:val="left"/>
                    <w:jc w:val="center"/>
                  </w:pPr>
                  <w:r>
                    <w:t xml:space="preserve">65.11</w:t>
                  </w:r>
                </w:p>
              </w:tc>
            </w:tr>
            <w:tr>
              <w:tc>
                <w:tcPr/>
                <w:p>
                  <w:pPr>
                    <w:pStyle w:val="Compact"/>
                    <w:jc w:val="left"/>
                    <w:jc w:val="center"/>
                  </w:pPr>
                  <w:r>
                    <w:t xml:space="preserve">veg</w:t>
                  </w:r>
                </w:p>
              </w:tc>
              <w:tc>
                <w:tcPr/>
                <w:p>
                  <w:pPr>
                    <w:pStyle w:val="Compact"/>
                    <w:jc w:val="left"/>
                    <w:jc w:val="center"/>
                  </w:pPr>
                  <w:r>
                    <w:t xml:space="preserve">gs</w:t>
                  </w:r>
                </w:p>
              </w:tc>
              <w:tc>
                <w:tcPr/>
                <w:p>
                  <w:pPr>
                    <w:pStyle w:val="Compact"/>
                    <w:jc w:val="left"/>
                    <w:jc w:val="center"/>
                  </w:pPr>
                  <w:r>
                    <w:t xml:space="preserve">29.94</w:t>
                  </w:r>
                </w:p>
              </w:tc>
              <w:tc>
                <w:tcPr/>
                <w:p>
                  <w:pPr>
                    <w:pStyle w:val="Compact"/>
                    <w:jc w:val="left"/>
                    <w:jc w:val="center"/>
                  </w:pPr>
                  <w:r>
                    <w:t xml:space="preserve">7.78</w:t>
                  </w:r>
                </w:p>
              </w:tc>
              <w:tc>
                <w:tcPr/>
                <w:p>
                  <w:pPr>
                    <w:pStyle w:val="Compact"/>
                    <w:jc w:val="left"/>
                    <w:jc w:val="center"/>
                  </w:pPr>
                  <w:r>
                    <w:t xml:space="preserve">Inf</w:t>
                  </w:r>
                </w:p>
              </w:tc>
              <w:tc>
                <w:tcPr/>
                <w:p>
                  <w:pPr>
                    <w:pStyle w:val="Compact"/>
                    <w:jc w:val="left"/>
                    <w:jc w:val="center"/>
                  </w:pPr>
                  <w:r>
                    <w:t xml:space="preserve">14.69</w:t>
                  </w:r>
                </w:p>
              </w:tc>
              <w:tc>
                <w:tcPr/>
                <w:p>
                  <w:pPr>
                    <w:pStyle w:val="Compact"/>
                    <w:jc w:val="left"/>
                    <w:jc w:val="center"/>
                  </w:pPr>
                  <w:r>
                    <w:t xml:space="preserve">45.19</w:t>
                  </w:r>
                </w:p>
              </w:tc>
            </w:tr>
            <w:tr>
              <w:tc>
                <w:tcPr/>
                <w:p>
                  <w:pPr>
                    <w:pStyle w:val="Compact"/>
                    <w:jc w:val="left"/>
                    <w:jc w:val="center"/>
                  </w:pPr>
                  <w:r>
                    <w:t xml:space="preserve">veg</w:t>
                  </w:r>
                </w:p>
              </w:tc>
              <w:tc>
                <w:tcPr/>
                <w:p>
                  <w:pPr>
                    <w:pStyle w:val="Compact"/>
                    <w:jc w:val="left"/>
                    <w:jc w:val="center"/>
                  </w:pPr>
                  <w:r>
                    <w:t xml:space="preserve">ld</w:t>
                  </w:r>
                </w:p>
              </w:tc>
              <w:tc>
                <w:tcPr/>
                <w:p>
                  <w:pPr>
                    <w:pStyle w:val="Compact"/>
                    <w:jc w:val="left"/>
                    <w:jc w:val="center"/>
                  </w:pPr>
                  <w:r>
                    <w:t xml:space="preserve">20.88</w:t>
                  </w:r>
                </w:p>
              </w:tc>
              <w:tc>
                <w:tcPr/>
                <w:p>
                  <w:pPr>
                    <w:pStyle w:val="Compact"/>
                    <w:jc w:val="left"/>
                    <w:jc w:val="center"/>
                  </w:pPr>
                  <w:r>
                    <w:t xml:space="preserve">5.32</w:t>
                  </w:r>
                </w:p>
              </w:tc>
              <w:tc>
                <w:tcPr/>
                <w:p>
                  <w:pPr>
                    <w:pStyle w:val="Compact"/>
                    <w:jc w:val="left"/>
                    <w:jc w:val="center"/>
                  </w:pPr>
                  <w:r>
                    <w:t xml:space="preserve">Inf</w:t>
                  </w:r>
                </w:p>
              </w:tc>
              <w:tc>
                <w:tcPr/>
                <w:p>
                  <w:pPr>
                    <w:pStyle w:val="Compact"/>
                    <w:jc w:val="left"/>
                    <w:jc w:val="center"/>
                  </w:pPr>
                  <w:r>
                    <w:t xml:space="preserve">10.45</w:t>
                  </w:r>
                </w:p>
              </w:tc>
              <w:tc>
                <w:tcPr/>
                <w:p>
                  <w:pPr>
                    <w:pStyle w:val="Compact"/>
                    <w:jc w:val="left"/>
                    <w:jc w:val="center"/>
                  </w:pPr>
                  <w:r>
                    <w:t xml:space="preserve">31.3</w:t>
                  </w:r>
                </w:p>
              </w:tc>
            </w:tr>
            <w:tr>
              <w:tc>
                <w:tcPr/>
                <w:p>
                  <w:pPr>
                    <w:pStyle w:val="Compact"/>
                    <w:jc w:val="left"/>
                    <w:jc w:val="center"/>
                  </w:pPr>
                  <w:r>
                    <w:t xml:space="preserve">veg</w:t>
                  </w:r>
                </w:p>
              </w:tc>
              <w:tc>
                <w:tcPr/>
                <w:p>
                  <w:pPr>
                    <w:pStyle w:val="Compact"/>
                    <w:jc w:val="left"/>
                    <w:jc w:val="center"/>
                  </w:pPr>
                  <w:r>
                    <w:t xml:space="preserve">ha</w:t>
                  </w:r>
                </w:p>
              </w:tc>
              <w:tc>
                <w:tcPr/>
                <w:p>
                  <w:pPr>
                    <w:pStyle w:val="Compact"/>
                    <w:jc w:val="left"/>
                    <w:jc w:val="center"/>
                  </w:pPr>
                  <w:r>
                    <w:t xml:space="preserve">10.99</w:t>
                  </w:r>
                </w:p>
              </w:tc>
              <w:tc>
                <w:tcPr/>
                <w:p>
                  <w:pPr>
                    <w:pStyle w:val="Compact"/>
                    <w:jc w:val="left"/>
                    <w:jc w:val="center"/>
                  </w:pPr>
                  <w:r>
                    <w:t xml:space="preserve">2.86</w:t>
                  </w:r>
                </w:p>
              </w:tc>
              <w:tc>
                <w:tcPr/>
                <w:p>
                  <w:pPr>
                    <w:pStyle w:val="Compact"/>
                    <w:jc w:val="left"/>
                    <w:jc w:val="center"/>
                  </w:pPr>
                  <w:r>
                    <w:t xml:space="preserve">Inf</w:t>
                  </w:r>
                </w:p>
              </w:tc>
              <w:tc>
                <w:tcPr/>
                <w:p>
                  <w:pPr>
                    <w:pStyle w:val="Compact"/>
                    <w:jc w:val="left"/>
                    <w:jc w:val="center"/>
                  </w:pPr>
                  <w:r>
                    <w:t xml:space="preserve">5.39</w:t>
                  </w:r>
                </w:p>
              </w:tc>
              <w:tc>
                <w:tcPr/>
                <w:p>
                  <w:pPr>
                    <w:pStyle w:val="Compact"/>
                    <w:jc w:val="left"/>
                    <w:jc w:val="center"/>
                  </w:pPr>
                  <w:r>
                    <w:t xml:space="preserve">16.6</w:t>
                  </w:r>
                </w:p>
              </w:tc>
            </w:tr>
            <w:tr>
              <w:tc>
                <w:tcPr/>
                <w:p>
                  <w:pPr>
                    <w:pStyle w:val="Compact"/>
                    <w:jc w:val="left"/>
                    <w:jc w:val="center"/>
                  </w:pPr>
                  <w:r>
                    <w:t xml:space="preserve">veg</w:t>
                  </w:r>
                </w:p>
              </w:tc>
              <w:tc>
                <w:tcPr/>
                <w:p>
                  <w:pPr>
                    <w:pStyle w:val="Compact"/>
                    <w:jc w:val="left"/>
                    <w:jc w:val="center"/>
                  </w:pPr>
                  <w:r>
                    <w:t xml:space="preserve">hd</w:t>
                  </w:r>
                </w:p>
              </w:tc>
              <w:tc>
                <w:tcPr/>
                <w:p>
                  <w:pPr>
                    <w:pStyle w:val="Compact"/>
                    <w:jc w:val="left"/>
                    <w:jc w:val="center"/>
                  </w:pPr>
                  <w:r>
                    <w:t xml:space="preserve">16.86</w:t>
                  </w:r>
                </w:p>
              </w:tc>
              <w:tc>
                <w:tcPr/>
                <w:p>
                  <w:pPr>
                    <w:pStyle w:val="Compact"/>
                    <w:jc w:val="left"/>
                    <w:jc w:val="center"/>
                  </w:pPr>
                  <w:r>
                    <w:t xml:space="preserve">4.32</w:t>
                  </w:r>
                </w:p>
              </w:tc>
              <w:tc>
                <w:tcPr/>
                <w:p>
                  <w:pPr>
                    <w:pStyle w:val="Compact"/>
                    <w:jc w:val="left"/>
                    <w:jc w:val="center"/>
                  </w:pPr>
                  <w:r>
                    <w:t xml:space="preserve">Inf</w:t>
                  </w:r>
                </w:p>
              </w:tc>
              <w:tc>
                <w:tcPr/>
                <w:p>
                  <w:pPr>
                    <w:pStyle w:val="Compact"/>
                    <w:jc w:val="left"/>
                    <w:jc w:val="center"/>
                  </w:pPr>
                  <w:r>
                    <w:t xml:space="preserve">8.4</w:t>
                  </w:r>
                </w:p>
              </w:tc>
              <w:tc>
                <w:tcPr/>
                <w:p>
                  <w:pPr>
                    <w:pStyle w:val="Compact"/>
                    <w:jc w:val="left"/>
                    <w:jc w:val="center"/>
                  </w:pPr>
                  <w:r>
                    <w:t xml:space="preserve">25.32</w:t>
                  </w:r>
                </w:p>
              </w:tc>
            </w:tr>
          </w:tbl>
          <w:bookmarkEnd w:id="101"/>
          <w:p/>
        </w:tc>
      </w:tr>
    </w:tbl>
    <w:p>
      <w:pPr>
        <w:pStyle w:val="BodyText"/>
      </w:pPr>
      <w:r>
        <w:t xml:space="preserve"> </w:t>
      </w:r>
    </w:p>
    <w:tbl>
      <w:tblPr>
        <w:tblStyle w:val="Table"/>
        <w:tblW w:type="pct" w:w="5000"/>
        <w:tblLook w:firstRow="0" w:lastRow="0" w:firstColumn="0" w:lastColumn="0" w:noHBand="0" w:noVBand="0" w:val="0000"/>
        <w:jc w:val="start"/>
        <w:tblLayout w:type="fixed"/>
      </w:tblPr>
      <w:tblGrid>
        <w:gridCol w:w="7920"/>
      </w:tblGrid>
      <w:tr>
        <w:tc>
          <w:tcPr/>
          <w:bookmarkStart w:id="102" w:name="tbl-fuel-pre-pct-grand-means"/>
          <w:p>
            <w:pPr>
              <w:jc w:val="center"/>
            </w:pPr>
            <w:pPr>
              <w:jc w:val="start"/>
              <w:spacing w:before="200"/>
              <w:pStyle w:val="ImageCaption"/>
            </w:pPr>
            <w:r>
              <w:t xml:space="preserve">Table 3.11: Grand means (Mg ha</w:t>
            </w:r>
            <w:r>
              <w:rPr>
                <w:vertAlign w:val="superscript"/>
              </w:rPr>
              <w:t xml:space="preserve">-1</w:t>
            </w:r>
            <w:r>
              <w:t xml:space="preserve">) for six fuel classes before pct.</w:t>
            </w:r>
          </w:p>
          <w:tbl>
            <w:tblPr>
              <w:tblStyle w:val="Table"/>
              <w:tblW w:type="pct" w:w="4671"/>
              <w:tblLook w:firstRow="1" w:lastRow="0" w:firstColumn="0" w:lastColumn="0" w:noHBand="0" w:noVBand="0" w:val="0020"/>
              <w:jc w:val="start"/>
              <w:tblLayout w:type="fixed"/>
            </w:tblPr>
            <w:tblGrid>
              <w:gridCol w:w="1354"/>
              <w:gridCol w:w="1042"/>
              <w:gridCol w:w="1146"/>
              <w:gridCol w:w="729"/>
              <w:gridCol w:w="625"/>
              <w:gridCol w:w="1250"/>
              <w:gridCol w:w="1250"/>
            </w:tblGrid>
            <w:tr>
              <w:trPr>
                <w:tblHeader w:val="true"/>
              </w:trPr>
              <w:tc>
                <w:tcPr/>
                <w:p>
                  <w:pPr>
                    <w:pStyle w:val="Compact"/>
                    <w:jc w:val="left"/>
                    <w:jc w:val="center"/>
                  </w:pPr>
                  <w:r>
                    <w:t xml:space="preserve">class</w:t>
                  </w:r>
                </w:p>
              </w:tc>
              <w:tc>
                <w:tcPr/>
                <w:p>
                  <w:pPr>
                    <w:pStyle w:val="Compact"/>
                    <w:jc w:val="left"/>
                    <w:jc w:val="center"/>
                  </w:pPr>
                  <w:r>
                    <w:t xml:space="preserve">1</w:t>
                  </w:r>
                </w:p>
              </w:tc>
              <w:tc>
                <w:tcPr/>
                <w:p>
                  <w:pPr>
                    <w:pStyle w:val="Compact"/>
                    <w:jc w:val="left"/>
                    <w:jc w:val="center"/>
                  </w:pPr>
                  <w:r>
                    <w:t xml:space="preserve">estimate</w:t>
                  </w:r>
                </w:p>
              </w:tc>
              <w:tc>
                <w:tcPr/>
                <w:p>
                  <w:pPr>
                    <w:pStyle w:val="Compact"/>
                    <w:jc w:val="left"/>
                    <w:jc w:val="center"/>
                  </w:pPr>
                  <w:r>
                    <w:t xml:space="preserve">SE</w:t>
                  </w:r>
                </w:p>
              </w:tc>
              <w:tc>
                <w:tcPr/>
                <w:p>
                  <w:pPr>
                    <w:pStyle w:val="Compact"/>
                    <w:jc w:val="left"/>
                    <w:jc w:val="center"/>
                  </w:pPr>
                  <w:r>
                    <w:t xml:space="preserve">df</w:t>
                  </w:r>
                </w:p>
              </w:tc>
              <w:tc>
                <w:tcPr/>
                <w:p>
                  <w:pPr>
                    <w:pStyle w:val="Compact"/>
                    <w:jc w:val="left"/>
                    <w:jc w:val="center"/>
                  </w:pPr>
                  <w:r>
                    <w:t xml:space="preserve">asymp.LCL</w:t>
                  </w:r>
                </w:p>
              </w:tc>
              <w:tc>
                <w:tcPr/>
                <w:p>
                  <w:pPr>
                    <w:pStyle w:val="Compact"/>
                    <w:jc w:val="left"/>
                    <w:jc w:val="center"/>
                  </w:pPr>
                  <w:r>
                    <w:t xml:space="preserve">asymp.UCL</w:t>
                  </w:r>
                </w:p>
              </w:tc>
            </w:tr>
            <w:tr>
              <w:tc>
                <w:tcPr/>
                <w:p>
                  <w:pPr>
                    <w:pStyle w:val="Compact"/>
                    <w:jc w:val="left"/>
                    <w:jc w:val="center"/>
                  </w:pPr>
                  <w:r>
                    <w:t xml:space="preserve">dufflitter</w:t>
                  </w:r>
                </w:p>
              </w:tc>
              <w:tc>
                <w:tcPr/>
                <w:p>
                  <w:pPr>
                    <w:pStyle w:val="Compact"/>
                    <w:jc w:val="left"/>
                    <w:jc w:val="center"/>
                  </w:pPr>
                  <w:r>
                    <w:t xml:space="preserve">overall</w:t>
                  </w:r>
                </w:p>
              </w:tc>
              <w:tc>
                <w:tcPr/>
                <w:p>
                  <w:pPr>
                    <w:pStyle w:val="Compact"/>
                    <w:jc w:val="left"/>
                    <w:jc w:val="center"/>
                  </w:pPr>
                  <w:r>
                    <w:t xml:space="preserve">46.86</w:t>
                  </w:r>
                </w:p>
              </w:tc>
              <w:tc>
                <w:tcPr/>
                <w:p>
                  <w:pPr>
                    <w:pStyle w:val="Compact"/>
                    <w:jc w:val="left"/>
                    <w:jc w:val="center"/>
                  </w:pPr>
                  <w:r>
                    <w:t xml:space="preserve">4.21</w:t>
                  </w:r>
                </w:p>
              </w:tc>
              <w:tc>
                <w:tcPr/>
                <w:p>
                  <w:pPr>
                    <w:pStyle w:val="Compact"/>
                    <w:jc w:val="left"/>
                    <w:jc w:val="center"/>
                  </w:pPr>
                  <w:r>
                    <w:t xml:space="preserve">Inf</w:t>
                  </w:r>
                </w:p>
              </w:tc>
              <w:tc>
                <w:tcPr/>
                <w:p>
                  <w:pPr>
                    <w:pStyle w:val="Compact"/>
                    <w:jc w:val="left"/>
                    <w:jc w:val="center"/>
                  </w:pPr>
                  <w:r>
                    <w:t xml:space="preserve">38.6</w:t>
                  </w:r>
                </w:p>
              </w:tc>
              <w:tc>
                <w:tcPr/>
                <w:p>
                  <w:pPr>
                    <w:pStyle w:val="Compact"/>
                    <w:jc w:val="left"/>
                    <w:jc w:val="center"/>
                  </w:pPr>
                  <w:r>
                    <w:t xml:space="preserve">55.1</w:t>
                  </w:r>
                </w:p>
              </w:tc>
            </w:tr>
            <w:tr>
              <w:tc>
                <w:tcPr/>
                <w:p>
                  <w:pPr>
                    <w:pStyle w:val="Compact"/>
                    <w:jc w:val="left"/>
                    <w:jc w:val="center"/>
                  </w:pPr>
                  <w:r>
                    <w:t xml:space="preserve">onehr</w:t>
                  </w:r>
                </w:p>
              </w:tc>
              <w:tc>
                <w:tcPr/>
                <w:p>
                  <w:pPr>
                    <w:pStyle w:val="Compact"/>
                    <w:jc w:val="left"/>
                    <w:jc w:val="center"/>
                  </w:pPr>
                  <w:r>
                    <w:t xml:space="preserve">overall</w:t>
                  </w:r>
                </w:p>
              </w:tc>
              <w:tc>
                <w:tcPr/>
                <w:p>
                  <w:pPr>
                    <w:pStyle w:val="Compact"/>
                    <w:jc w:val="left"/>
                    <w:jc w:val="center"/>
                  </w:pPr>
                  <w:r>
                    <w:t xml:space="preserve">0.86</w:t>
                  </w:r>
                </w:p>
              </w:tc>
              <w:tc>
                <w:tcPr/>
                <w:p>
                  <w:pPr>
                    <w:pStyle w:val="Compact"/>
                    <w:jc w:val="left"/>
                    <w:jc w:val="center"/>
                  </w:pPr>
                  <w:r>
                    <w:t xml:space="preserve">0.12</w:t>
                  </w:r>
                </w:p>
              </w:tc>
              <w:tc>
                <w:tcPr/>
                <w:p>
                  <w:pPr>
                    <w:pStyle w:val="Compact"/>
                    <w:jc w:val="left"/>
                    <w:jc w:val="center"/>
                  </w:pPr>
                  <w:r>
                    <w:t xml:space="preserve">Inf</w:t>
                  </w:r>
                </w:p>
              </w:tc>
              <w:tc>
                <w:tcPr/>
                <w:p>
                  <w:pPr>
                    <w:pStyle w:val="Compact"/>
                    <w:jc w:val="left"/>
                    <w:jc w:val="center"/>
                  </w:pPr>
                  <w:r>
                    <w:t xml:space="preserve">0.63</w:t>
                  </w:r>
                </w:p>
              </w:tc>
              <w:tc>
                <w:tcPr/>
                <w:p>
                  <w:pPr>
                    <w:pStyle w:val="Compact"/>
                    <w:jc w:val="left"/>
                    <w:jc w:val="center"/>
                  </w:pPr>
                  <w:r>
                    <w:t xml:space="preserve">1.1</w:t>
                  </w:r>
                </w:p>
              </w:tc>
            </w:tr>
            <w:tr>
              <w:tc>
                <w:tcPr/>
                <w:p>
                  <w:pPr>
                    <w:pStyle w:val="Compact"/>
                    <w:jc w:val="left"/>
                    <w:jc w:val="center"/>
                  </w:pPr>
                  <w:r>
                    <w:t xml:space="preserve">tenhr</w:t>
                  </w:r>
                </w:p>
              </w:tc>
              <w:tc>
                <w:tcPr/>
                <w:p>
                  <w:pPr>
                    <w:pStyle w:val="Compact"/>
                    <w:jc w:val="left"/>
                    <w:jc w:val="center"/>
                  </w:pPr>
                  <w:r>
                    <w:t xml:space="preserve">overall</w:t>
                  </w:r>
                </w:p>
              </w:tc>
              <w:tc>
                <w:tcPr/>
                <w:p>
                  <w:pPr>
                    <w:pStyle w:val="Compact"/>
                    <w:jc w:val="left"/>
                    <w:jc w:val="center"/>
                  </w:pPr>
                  <w:r>
                    <w:t xml:space="preserve">3.21</w:t>
                  </w:r>
                </w:p>
              </w:tc>
              <w:tc>
                <w:tcPr/>
                <w:p>
                  <w:pPr>
                    <w:pStyle w:val="Compact"/>
                    <w:jc w:val="left"/>
                    <w:jc w:val="center"/>
                  </w:pPr>
                  <w:r>
                    <w:t xml:space="preserve">0.28</w:t>
                  </w:r>
                </w:p>
              </w:tc>
              <w:tc>
                <w:tcPr/>
                <w:p>
                  <w:pPr>
                    <w:pStyle w:val="Compact"/>
                    <w:jc w:val="left"/>
                    <w:jc w:val="center"/>
                  </w:pPr>
                  <w:r>
                    <w:t xml:space="preserve">Inf</w:t>
                  </w:r>
                </w:p>
              </w:tc>
              <w:tc>
                <w:tcPr/>
                <w:p>
                  <w:pPr>
                    <w:pStyle w:val="Compact"/>
                    <w:jc w:val="left"/>
                    <w:jc w:val="center"/>
                  </w:pPr>
                  <w:r>
                    <w:t xml:space="preserve">2.65</w:t>
                  </w:r>
                </w:p>
              </w:tc>
              <w:tc>
                <w:tcPr/>
                <w:p>
                  <w:pPr>
                    <w:pStyle w:val="Compact"/>
                    <w:jc w:val="left"/>
                    <w:jc w:val="center"/>
                  </w:pPr>
                  <w:r>
                    <w:t xml:space="preserve">3.8</w:t>
                  </w:r>
                </w:p>
              </w:tc>
            </w:tr>
            <w:tr>
              <w:tc>
                <w:tcPr/>
                <w:p>
                  <w:pPr>
                    <w:pStyle w:val="Compact"/>
                    <w:jc w:val="left"/>
                    <w:jc w:val="center"/>
                  </w:pPr>
                  <w:r>
                    <w:t xml:space="preserve">hundhr</w:t>
                  </w:r>
                </w:p>
              </w:tc>
              <w:tc>
                <w:tcPr/>
                <w:p>
                  <w:pPr>
                    <w:pStyle w:val="Compact"/>
                    <w:jc w:val="left"/>
                    <w:jc w:val="center"/>
                  </w:pPr>
                  <w:r>
                    <w:t xml:space="preserve">overall</w:t>
                  </w:r>
                </w:p>
              </w:tc>
              <w:tc>
                <w:tcPr/>
                <w:p>
                  <w:pPr>
                    <w:pStyle w:val="Compact"/>
                    <w:jc w:val="left"/>
                    <w:jc w:val="center"/>
                  </w:pPr>
                  <w:r>
                    <w:t xml:space="preserve">9.71</w:t>
                  </w:r>
                </w:p>
              </w:tc>
              <w:tc>
                <w:tcPr/>
                <w:p>
                  <w:pPr>
                    <w:pStyle w:val="Compact"/>
                    <w:jc w:val="left"/>
                    <w:jc w:val="center"/>
                  </w:pPr>
                  <w:r>
                    <w:t xml:space="preserve">1.1</w:t>
                  </w:r>
                </w:p>
              </w:tc>
              <w:tc>
                <w:tcPr/>
                <w:p>
                  <w:pPr>
                    <w:pStyle w:val="Compact"/>
                    <w:jc w:val="left"/>
                    <w:jc w:val="center"/>
                  </w:pPr>
                  <w:r>
                    <w:t xml:space="preserve">Inf</w:t>
                  </w:r>
                </w:p>
              </w:tc>
              <w:tc>
                <w:tcPr/>
                <w:p>
                  <w:pPr>
                    <w:pStyle w:val="Compact"/>
                    <w:jc w:val="left"/>
                    <w:jc w:val="center"/>
                  </w:pPr>
                  <w:r>
                    <w:t xml:space="preserve">7.56</w:t>
                  </w:r>
                </w:p>
              </w:tc>
              <w:tc>
                <w:tcPr/>
                <w:p>
                  <w:pPr>
                    <w:pStyle w:val="Compact"/>
                    <w:jc w:val="left"/>
                    <w:jc w:val="center"/>
                  </w:pPr>
                  <w:r>
                    <w:t xml:space="preserve">11.9</w:t>
                  </w:r>
                </w:p>
              </w:tc>
            </w:tr>
            <w:tr>
              <w:tc>
                <w:tcPr/>
                <w:p>
                  <w:pPr>
                    <w:pStyle w:val="Compact"/>
                    <w:jc w:val="left"/>
                    <w:jc w:val="center"/>
                  </w:pPr>
                  <w:r>
                    <w:t xml:space="preserve">thoushr</w:t>
                  </w:r>
                </w:p>
              </w:tc>
              <w:tc>
                <w:tcPr/>
                <w:p>
                  <w:pPr>
                    <w:pStyle w:val="Compact"/>
                    <w:jc w:val="left"/>
                    <w:jc w:val="center"/>
                  </w:pPr>
                  <w:r>
                    <w:t xml:space="preserve">overall</w:t>
                  </w:r>
                </w:p>
              </w:tc>
              <w:tc>
                <w:tcPr/>
                <w:p>
                  <w:pPr>
                    <w:pStyle w:val="Compact"/>
                    <w:jc w:val="left"/>
                    <w:jc w:val="center"/>
                  </w:pPr>
                  <w:r>
                    <w:t xml:space="preserve">34.29</w:t>
                  </w:r>
                </w:p>
              </w:tc>
              <w:tc>
                <w:tcPr/>
                <w:p>
                  <w:pPr>
                    <w:pStyle w:val="Compact"/>
                    <w:jc w:val="left"/>
                    <w:jc w:val="center"/>
                  </w:pPr>
                  <w:r>
                    <w:t xml:space="preserve">6.31</w:t>
                  </w:r>
                </w:p>
              </w:tc>
              <w:tc>
                <w:tcPr/>
                <w:p>
                  <w:pPr>
                    <w:pStyle w:val="Compact"/>
                    <w:jc w:val="left"/>
                    <w:jc w:val="center"/>
                  </w:pPr>
                  <w:r>
                    <w:t xml:space="preserve">Inf</w:t>
                  </w:r>
                </w:p>
              </w:tc>
              <w:tc>
                <w:tcPr/>
                <w:p>
                  <w:pPr>
                    <w:pStyle w:val="Compact"/>
                    <w:jc w:val="left"/>
                    <w:jc w:val="center"/>
                  </w:pPr>
                  <w:r>
                    <w:t xml:space="preserve">21.93</w:t>
                  </w:r>
                </w:p>
              </w:tc>
              <w:tc>
                <w:tcPr/>
                <w:p>
                  <w:pPr>
                    <w:pStyle w:val="Compact"/>
                    <w:jc w:val="left"/>
                    <w:jc w:val="center"/>
                  </w:pPr>
                  <w:r>
                    <w:t xml:space="preserve">46.6</w:t>
                  </w:r>
                </w:p>
              </w:tc>
            </w:tr>
            <w:tr>
              <w:tc>
                <w:tcPr/>
                <w:p>
                  <w:pPr>
                    <w:pStyle w:val="Compact"/>
                    <w:jc w:val="left"/>
                    <w:jc w:val="center"/>
                  </w:pPr>
                  <w:r>
                    <w:t xml:space="preserve">veg</w:t>
                  </w:r>
                </w:p>
              </w:tc>
              <w:tc>
                <w:tcPr/>
                <w:p>
                  <w:pPr>
                    <w:pStyle w:val="Compact"/>
                    <w:jc w:val="left"/>
                    <w:jc w:val="center"/>
                  </w:pPr>
                  <w:r>
                    <w:t xml:space="preserve">overall</w:t>
                  </w:r>
                </w:p>
              </w:tc>
              <w:tc>
                <w:tcPr/>
                <w:p>
                  <w:pPr>
                    <w:pStyle w:val="Compact"/>
                    <w:jc w:val="left"/>
                    <w:jc w:val="center"/>
                  </w:pPr>
                  <w:r>
                    <w:t xml:space="preserve">19.67</w:t>
                  </w:r>
                </w:p>
              </w:tc>
              <w:tc>
                <w:tcPr/>
                <w:p>
                  <w:pPr>
                    <w:pStyle w:val="Compact"/>
                    <w:jc w:val="left"/>
                    <w:jc w:val="center"/>
                  </w:pPr>
                  <w:r>
                    <w:t xml:space="preserve">3.52</w:t>
                  </w:r>
                </w:p>
              </w:tc>
              <w:tc>
                <w:tcPr/>
                <w:p>
                  <w:pPr>
                    <w:pStyle w:val="Compact"/>
                    <w:jc w:val="left"/>
                    <w:jc w:val="center"/>
                  </w:pPr>
                  <w:r>
                    <w:t xml:space="preserve">Inf</w:t>
                  </w:r>
                </w:p>
              </w:tc>
              <w:tc>
                <w:tcPr/>
                <w:p>
                  <w:pPr>
                    <w:pStyle w:val="Compact"/>
                    <w:jc w:val="left"/>
                    <w:jc w:val="center"/>
                  </w:pPr>
                  <w:r>
                    <w:t xml:space="preserve">12.77</w:t>
                  </w:r>
                </w:p>
              </w:tc>
              <w:tc>
                <w:tcPr/>
                <w:p>
                  <w:pPr>
                    <w:pStyle w:val="Compact"/>
                    <w:jc w:val="left"/>
                    <w:jc w:val="center"/>
                  </w:pPr>
                  <w:r>
                    <w:t xml:space="preserve">26.6</w:t>
                  </w:r>
                </w:p>
              </w:tc>
            </w:tr>
          </w:tbl>
          <w:bookmarkEnd w:id="102"/>
          <w:p/>
        </w:tc>
      </w:tr>
    </w:tbl>
    <w:bookmarkEnd w:id="103"/>
    <w:bookmarkStart w:id="111" w:name="post-pct"/>
    <w:p>
      <w:pPr>
        <w:pStyle w:val="Heading3"/>
      </w:pPr>
      <w:r>
        <w:t xml:space="preserve">3.3.2 Post-pct</w:t>
      </w:r>
    </w:p>
    <w:p>
      <w:pPr>
        <w:pStyle w:val="FirstParagraph"/>
      </w:pPr>
      <w:r>
        <w:t xml:space="preserve">The response for all six, post-pct fuel classes were modeled with a gamma</w:t>
      </w:r>
      <w:r>
        <w:t xml:space="preserve"> </w:t>
      </w:r>
      <w:r>
        <w:t xml:space="preserve">distribution and a log link, and included the same multi-level random effects as</w:t>
      </w:r>
      <w:r>
        <w:t xml:space="preserve"> </w:t>
      </w:r>
      <w:r>
        <w:t xml:space="preserve">for the pre-pct models. Dispersion models with treatment as the only predictor</w:t>
      </w:r>
      <w:r>
        <w:t xml:space="preserve"> </w:t>
      </w:r>
      <w:r>
        <w:t xml:space="preserve">were included for 1-hr and 100-hr fuel classes. All models included a hurdle</w:t>
      </w:r>
      <w:r>
        <w:t xml:space="preserve"> </w:t>
      </w:r>
      <w:r>
        <w:t xml:space="preserve">portion to model zeros using a logit link. For 100-hr fuels, this model included</w:t>
      </w:r>
      <w:r>
        <w:t xml:space="preserve"> </w:t>
      </w:r>
      <w:r>
        <w:t xml:space="preserve">treatment and site as predictors, and for the rest, a constant rate for all</w:t>
      </w:r>
      <w:r>
        <w:t xml:space="preserve"> </w:t>
      </w:r>
      <w:r>
        <w:t xml:space="preserve">observations was used (</w:t>
      </w:r>
      <w:hyperlink w:anchor="tbl-fuel-post-pct">
        <w:r>
          <w:rPr>
            <w:rStyle w:val="Hyperlink"/>
          </w:rPr>
          <w:t xml:space="preserve">Table 3.12</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104" w:name="tbl-fuel-post-pct"/>
          <w:p>
            <w:pPr>
              <w:jc w:val="center"/>
            </w:pPr>
            <w:pPr>
              <w:jc w:val="start"/>
              <w:spacing w:before="200"/>
              <w:pStyle w:val="ImageCaption"/>
            </w:pPr>
            <w:r>
              <w:t xml:space="preserve">Table 3.12: Model specifications for six fuel classes after pct.</w:t>
            </w:r>
          </w:p>
          <w:tbl>
            <w:tblPr>
              <w:tblStyle w:val="Table"/>
              <w:tblW w:type="pct" w:w="4862"/>
              <w:tblLook w:firstRow="1" w:lastRow="0" w:firstColumn="0" w:lastColumn="0" w:noHBand="0" w:noVBand="0" w:val="0020"/>
              <w:jc w:val="start"/>
              <w:tblLayout w:type="fixed"/>
            </w:tblPr>
            <w:tblGrid>
              <w:gridCol w:w="1310"/>
              <w:gridCol w:w="491"/>
              <w:gridCol w:w="382"/>
              <w:gridCol w:w="3331"/>
              <w:gridCol w:w="1092"/>
              <w:gridCol w:w="1092"/>
            </w:tblGrid>
            <w:tr>
              <w:trPr>
                <w:tblHeader w:val="true"/>
              </w:trPr>
              <w:tc>
                <w:tcPr/>
                <w:p>
                  <w:pPr>
                    <w:pStyle w:val="Compact"/>
                    <w:jc w:val="left"/>
                    <w:jc w:val="center"/>
                  </w:pPr>
                  <w:r>
                    <w:t xml:space="preserve">class</w:t>
                  </w:r>
                </w:p>
              </w:tc>
              <w:tc>
                <w:tcPr/>
                <w:p>
                  <w:pPr>
                    <w:pStyle w:val="Compact"/>
                    <w:jc w:val="left"/>
                    <w:jc w:val="center"/>
                  </w:pPr>
                  <w:r>
                    <w:t xml:space="preserve">Family</w:t>
                  </w:r>
                </w:p>
              </w:tc>
              <w:tc>
                <w:tcPr/>
                <w:p>
                  <w:pPr>
                    <w:pStyle w:val="Compact"/>
                    <w:jc w:val="left"/>
                    <w:jc w:val="center"/>
                  </w:pPr>
                  <w:r>
                    <w:t xml:space="preserve">Link</w:t>
                  </w:r>
                </w:p>
              </w:tc>
              <w:tc>
                <w:tcPr/>
                <w:p>
                  <w:pPr>
                    <w:pStyle w:val="Compact"/>
                    <w:jc w:val="left"/>
                    <w:jc w:val="center"/>
                  </w:pPr>
                  <w:r>
                    <w:t xml:space="preserve">Conditional</w:t>
                  </w:r>
                </w:p>
              </w:tc>
              <w:tc>
                <w:tcPr/>
                <w:p>
                  <w:pPr>
                    <w:pStyle w:val="Compact"/>
                    <w:jc w:val="left"/>
                    <w:jc w:val="center"/>
                  </w:pPr>
                  <w:r>
                    <w:t xml:space="preserve">Dispersion (log)</w:t>
                  </w:r>
                </w:p>
              </w:tc>
              <w:tc>
                <w:tcPr/>
                <w:p>
                  <w:pPr>
                    <w:pStyle w:val="Compact"/>
                    <w:jc w:val="left"/>
                    <w:jc w:val="center"/>
                  </w:pPr>
                  <w:r>
                    <w:t xml:space="preserve">Hurdle (logit)</w:t>
                  </w:r>
                </w:p>
              </w:tc>
            </w:tr>
            <w:tr>
              <w:tc>
                <w:tcPr/>
                <w:p>
                  <w:pPr>
                    <w:pStyle w:val="Compact"/>
                    <w:jc w:val="left"/>
                    <w:jc w:val="center"/>
                  </w:pPr>
                  <w:r>
                    <w:t xml:space="preserve">1-hr</w:t>
                  </w:r>
                </w:p>
              </w:tc>
              <w:tc>
                <w:tcPr/>
                <w:p>
                  <w:pPr>
                    <w:pStyle w:val="Compact"/>
                    <w:jc w:val="left"/>
                    <w:jc w:val="center"/>
                  </w:pPr>
                  <w:r>
                    <w:t xml:space="preserve">Gamma</w:t>
                  </w:r>
                </w:p>
              </w:tc>
              <w:tc>
                <w:tcPr/>
                <w:p>
                  <w:pPr>
                    <w:pStyle w:val="Compact"/>
                    <w:jc w:val="left"/>
                    <w:jc w:val="center"/>
                  </w:pPr>
                  <w:r>
                    <w:t xml:space="preserve">log</w:t>
                  </w:r>
                </w:p>
              </w:tc>
              <w:tc>
                <w:tcPr/>
                <w:p>
                  <w:pPr>
                    <w:pStyle w:val="Compact"/>
                    <w:jc w:val="left"/>
                    <w:jc w:val="center"/>
                  </w:pPr>
                  <w:r>
                    <w:t xml:space="preserve">load ~ treatment + (1 | site) + (1 | block) + (1 | corner)</w:t>
                  </w:r>
                </w:p>
              </w:tc>
              <w:tc>
                <w:tcPr/>
                <w:p>
                  <w:pPr>
                    <w:pStyle w:val="Compact"/>
                    <w:jc w:val="left"/>
                    <w:jc w:val="center"/>
                  </w:pPr>
                  <w:r>
                    <w:t xml:space="preserve">~treatment + site</w:t>
                  </w:r>
                </w:p>
              </w:tc>
              <w:tc>
                <w:tcPr/>
                <w:p>
                  <w:pPr>
                    <w:pStyle w:val="Compact"/>
                    <w:jc w:val="left"/>
                    <w:jc w:val="center"/>
                  </w:pPr>
                  <w:r>
                    <w:t xml:space="preserve">~1</w:t>
                  </w:r>
                </w:p>
              </w:tc>
            </w:tr>
            <w:tr>
              <w:tc>
                <w:tcPr/>
                <w:p>
                  <w:pPr>
                    <w:pStyle w:val="Compact"/>
                    <w:jc w:val="left"/>
                    <w:jc w:val="center"/>
                  </w:pPr>
                  <w:r>
                    <w:t xml:space="preserve">10-hr</w:t>
                  </w:r>
                </w:p>
              </w:tc>
              <w:tc>
                <w:tcPr/>
                <w:p>
                  <w:pPr>
                    <w:pStyle w:val="Compact"/>
                    <w:jc w:val="left"/>
                    <w:jc w:val="center"/>
                  </w:pPr>
                  <w:r>
                    <w:t xml:space="preserve">Gamma</w:t>
                  </w:r>
                </w:p>
              </w:tc>
              <w:tc>
                <w:tcPr/>
                <w:p>
                  <w:pPr>
                    <w:pStyle w:val="Compact"/>
                    <w:jc w:val="left"/>
                    <w:jc w:val="center"/>
                  </w:pPr>
                  <w:r>
                    <w:t xml:space="preserve">log</w:t>
                  </w:r>
                </w:p>
              </w:tc>
              <w:tc>
                <w:tcPr/>
                <w:p>
                  <w:pPr>
                    <w:pStyle w:val="Compact"/>
                    <w:jc w:val="left"/>
                    <w:jc w:val="center"/>
                  </w:pPr>
                  <w:r>
                    <w:t xml:space="preserve">load ~ treatment + (1 | site) + (1 | block) + (1 | corner)</w:t>
                  </w:r>
                </w:p>
              </w:tc>
              <w:tc>
                <w:tcPr/>
                <w:p>
                  <w:pPr>
                    <w:pStyle w:val="Compact"/>
                    <w:jc w:val="left"/>
                    <w:jc w:val="center"/>
                  </w:pPr>
                  <w:r>
                    <w:t xml:space="preserve">~1</w:t>
                  </w:r>
                </w:p>
              </w:tc>
              <w:tc>
                <w:tcPr/>
                <w:p>
                  <w:pPr>
                    <w:pStyle w:val="Compact"/>
                    <w:jc w:val="left"/>
                    <w:jc w:val="center"/>
                  </w:pPr>
                  <w:r>
                    <w:t xml:space="preserve">~1</w:t>
                  </w:r>
                </w:p>
              </w:tc>
            </w:tr>
            <w:tr>
              <w:tc>
                <w:tcPr/>
                <w:p>
                  <w:pPr>
                    <w:pStyle w:val="Compact"/>
                    <w:jc w:val="left"/>
                    <w:jc w:val="center"/>
                  </w:pPr>
                  <w:r>
                    <w:t xml:space="preserve">100-hr</w:t>
                  </w:r>
                </w:p>
              </w:tc>
              <w:tc>
                <w:tcPr/>
                <w:p>
                  <w:pPr>
                    <w:pStyle w:val="Compact"/>
                    <w:jc w:val="left"/>
                    <w:jc w:val="center"/>
                  </w:pPr>
                  <w:r>
                    <w:t xml:space="preserve">Gamma</w:t>
                  </w:r>
                </w:p>
              </w:tc>
              <w:tc>
                <w:tcPr/>
                <w:p>
                  <w:pPr>
                    <w:pStyle w:val="Compact"/>
                    <w:jc w:val="left"/>
                    <w:jc w:val="center"/>
                  </w:pPr>
                  <w:r>
                    <w:t xml:space="preserve">log</w:t>
                  </w:r>
                </w:p>
              </w:tc>
              <w:tc>
                <w:tcPr/>
                <w:p>
                  <w:pPr>
                    <w:pStyle w:val="Compact"/>
                    <w:jc w:val="left"/>
                    <w:jc w:val="center"/>
                  </w:pPr>
                  <w:r>
                    <w:t xml:space="preserve">load ~ treatment + (1 | site) + (1 | block) + (1 | corner)</w:t>
                  </w:r>
                </w:p>
              </w:tc>
              <w:tc>
                <w:tcPr/>
                <w:p>
                  <w:pPr>
                    <w:pStyle w:val="Compact"/>
                    <w:jc w:val="left"/>
                    <w:jc w:val="center"/>
                  </w:pPr>
                  <w:r>
                    <w:t xml:space="preserve">~treatment + site</w:t>
                  </w:r>
                </w:p>
              </w:tc>
              <w:tc>
                <w:tcPr/>
                <w:p>
                  <w:pPr>
                    <w:pStyle w:val="Compact"/>
                    <w:jc w:val="left"/>
                    <w:jc w:val="center"/>
                  </w:pPr>
                  <w:r>
                    <w:t xml:space="preserve">~treatment + site</w:t>
                  </w:r>
                </w:p>
              </w:tc>
            </w:tr>
            <w:tr>
              <w:tc>
                <w:tcPr/>
                <w:p>
                  <w:pPr>
                    <w:pStyle w:val="Compact"/>
                    <w:jc w:val="left"/>
                    <w:jc w:val="center"/>
                  </w:pPr>
                  <w:r>
                    <w:t xml:space="preserve">1,000-hr</w:t>
                  </w:r>
                </w:p>
              </w:tc>
              <w:tc>
                <w:tcPr/>
                <w:p>
                  <w:pPr>
                    <w:pStyle w:val="Compact"/>
                    <w:jc w:val="left"/>
                    <w:jc w:val="center"/>
                  </w:pPr>
                  <w:r>
                    <w:t xml:space="preserve">Gamma</w:t>
                  </w:r>
                </w:p>
              </w:tc>
              <w:tc>
                <w:tcPr/>
                <w:p>
                  <w:pPr>
                    <w:pStyle w:val="Compact"/>
                    <w:jc w:val="left"/>
                    <w:jc w:val="center"/>
                  </w:pPr>
                  <w:r>
                    <w:t xml:space="preserve">log</w:t>
                  </w:r>
                </w:p>
              </w:tc>
              <w:tc>
                <w:tcPr/>
                <w:p>
                  <w:pPr>
                    <w:pStyle w:val="Compact"/>
                    <w:jc w:val="left"/>
                    <w:jc w:val="center"/>
                  </w:pPr>
                  <w:r>
                    <w:t xml:space="preserve">load ~ treatment + (1 | site) + (1 | block) + (1 | corner)</w:t>
                  </w:r>
                </w:p>
              </w:tc>
              <w:tc>
                <w:tcPr/>
                <w:p>
                  <w:pPr>
                    <w:pStyle w:val="Compact"/>
                    <w:jc w:val="left"/>
                    <w:jc w:val="center"/>
                  </w:pPr>
                  <w:r>
                    <w:t xml:space="preserve">~1</w:t>
                  </w:r>
                </w:p>
              </w:tc>
              <w:tc>
                <w:tcPr/>
                <w:p>
                  <w:pPr>
                    <w:pStyle w:val="Compact"/>
                    <w:jc w:val="left"/>
                    <w:jc w:val="center"/>
                  </w:pPr>
                  <w:r>
                    <w:t xml:space="preserve">~1</w:t>
                  </w:r>
                </w:p>
              </w:tc>
            </w:tr>
            <w:tr>
              <w:tc>
                <w:tcPr/>
                <w:p>
                  <w:pPr>
                    <w:pStyle w:val="Compact"/>
                    <w:jc w:val="left"/>
                    <w:jc w:val="center"/>
                  </w:pPr>
                  <w:r>
                    <w:t xml:space="preserve">Vegetation</w:t>
                  </w:r>
                </w:p>
              </w:tc>
              <w:tc>
                <w:tcPr/>
                <w:p>
                  <w:pPr>
                    <w:pStyle w:val="Compact"/>
                    <w:jc w:val="left"/>
                    <w:jc w:val="center"/>
                  </w:pPr>
                  <w:r>
                    <w:t xml:space="preserve">Gamma</w:t>
                  </w:r>
                </w:p>
              </w:tc>
              <w:tc>
                <w:tcPr/>
                <w:p>
                  <w:pPr>
                    <w:pStyle w:val="Compact"/>
                    <w:jc w:val="left"/>
                    <w:jc w:val="center"/>
                  </w:pPr>
                  <w:r>
                    <w:t xml:space="preserve">log</w:t>
                  </w:r>
                </w:p>
              </w:tc>
              <w:tc>
                <w:tcPr/>
                <w:p>
                  <w:pPr>
                    <w:pStyle w:val="Compact"/>
                    <w:jc w:val="left"/>
                    <w:jc w:val="center"/>
                  </w:pPr>
                  <w:r>
                    <w:t xml:space="preserve">load ~ treatment + (1 | site) + (1 | block) + (1 | corner)</w:t>
                  </w:r>
                </w:p>
              </w:tc>
              <w:tc>
                <w:tcPr/>
                <w:p>
                  <w:pPr>
                    <w:pStyle w:val="Compact"/>
                    <w:jc w:val="left"/>
                    <w:jc w:val="center"/>
                  </w:pPr>
                  <w:r>
                    <w:t xml:space="preserve">~1</w:t>
                  </w:r>
                </w:p>
              </w:tc>
              <w:tc>
                <w:tcPr/>
                <w:p>
                  <w:pPr>
                    <w:pStyle w:val="Compact"/>
                    <w:jc w:val="left"/>
                    <w:jc w:val="center"/>
                  </w:pPr>
                  <w:r>
                    <w:t xml:space="preserve">~1</w:t>
                  </w:r>
                </w:p>
              </w:tc>
            </w:tr>
            <w:tr>
              <w:tc>
                <w:tcPr/>
                <w:p>
                  <w:pPr>
                    <w:pStyle w:val="Compact"/>
                    <w:jc w:val="left"/>
                    <w:jc w:val="center"/>
                  </w:pPr>
                  <w:r>
                    <w:t xml:space="preserve">Vegetation Difference</w:t>
                  </w:r>
                </w:p>
              </w:tc>
              <w:tc>
                <w:tcPr/>
                <w:p>
                  <w:pPr>
                    <w:pStyle w:val="Compact"/>
                    <w:jc w:val="left"/>
                    <w:jc w:val="center"/>
                  </w:pPr>
                  <w:r>
                    <w:t xml:space="preserve">Gamma</w:t>
                  </w:r>
                </w:p>
              </w:tc>
              <w:tc>
                <w:tcPr/>
                <w:p>
                  <w:pPr>
                    <w:pStyle w:val="Compact"/>
                    <w:jc w:val="left"/>
                    <w:jc w:val="center"/>
                  </w:pPr>
                  <w:r>
                    <w:t xml:space="preserve">log</w:t>
                  </w:r>
                </w:p>
              </w:tc>
              <w:tc>
                <w:tcPr/>
                <w:p>
                  <w:pPr>
                    <w:pStyle w:val="Compact"/>
                    <w:jc w:val="left"/>
                    <w:jc w:val="center"/>
                  </w:pPr>
                  <w:r>
                    <w:t xml:space="preserve">load ~ treatment + (1 | site) + (1 | block) + (1 | corner)</w:t>
                  </w:r>
                </w:p>
              </w:tc>
              <w:tc>
                <w:tcPr/>
                <w:p>
                  <w:pPr>
                    <w:pStyle w:val="Compact"/>
                    <w:jc w:val="left"/>
                    <w:jc w:val="center"/>
                  </w:pPr>
                  <w:r>
                    <w:t xml:space="preserve">~1</w:t>
                  </w:r>
                </w:p>
              </w:tc>
              <w:tc>
                <w:tcPr/>
                <w:p>
                  <w:pPr>
                    <w:pStyle w:val="Compact"/>
                    <w:jc w:val="left"/>
                    <w:jc w:val="center"/>
                  </w:pPr>
                  <w:r>
                    <w:t xml:space="preserve">~1</w:t>
                  </w:r>
                </w:p>
              </w:tc>
            </w:tr>
          </w:tbl>
          <w:bookmarkEnd w:id="104"/>
          <w:p/>
        </w:tc>
      </w:tr>
    </w:tbl>
    <w:p>
      <w:pPr>
        <w:pStyle w:val="BodyText"/>
      </w:pPr>
      <w:r>
        <w:t xml:space="preserve">Post-pct resulted in greater stratification of treatments (</w:t>
      </w:r>
      <w:hyperlink w:anchor="fig-fuel-post-pct">
        <w:r>
          <w:rPr>
            <w:rStyle w:val="Hyperlink"/>
          </w:rPr>
          <w:t xml:space="preserve">Figure 3.8</w:t>
        </w:r>
      </w:hyperlink>
      <w:r>
        <w:t xml:space="preserve">).</w:t>
      </w:r>
      <w:r>
        <w:t xml:space="preserve"> </w:t>
      </w:r>
      <w:r>
        <w:t xml:space="preserve">One-hour fuels for most treatments were around 2.4 Mg ha</w:t>
      </w:r>
      <w:r>
        <w:rPr>
          <w:vertAlign w:val="superscript"/>
        </w:rPr>
        <w:t xml:space="preserve">-1</w:t>
      </w:r>
      <w:r>
        <w:t xml:space="preserve">, but the HA</w:t>
      </w:r>
      <w:r>
        <w:t xml:space="preserve"> </w:t>
      </w:r>
      <w:r>
        <w:t xml:space="preserve">treatment had around half of that amount (p = 0.01 to p = 0.02). The GS</w:t>
      </w:r>
      <w:r>
        <w:t xml:space="preserve"> </w:t>
      </w:r>
      <w:r>
        <w:t xml:space="preserve">treatment had the greatest 10-hr fuel loading with 8.8 Mg ha</w:t>
      </w:r>
      <w:r>
        <w:rPr>
          <w:vertAlign w:val="superscript"/>
        </w:rPr>
        <w:t xml:space="preserve">-1</w:t>
      </w:r>
      <w:r>
        <w:t xml:space="preserve">, which was</w:t>
      </w:r>
      <w:r>
        <w:t xml:space="preserve"> </w:t>
      </w:r>
      <w:r>
        <w:t xml:space="preserve">about 1.6, 2.3 and 2.9 times greater than the LD, HA, and HD treatments</w:t>
      </w:r>
      <w:r>
        <w:t xml:space="preserve"> </w:t>
      </w:r>
      <w:r>
        <w:t xml:space="preserve">respectively (p = 0.03, p &lt; 0.001, for the others, respectively). The LD</w:t>
      </w:r>
      <w:r>
        <w:t xml:space="preserve"> </w:t>
      </w:r>
      <w:r>
        <w:t xml:space="preserve">treatment also had about 1.7 times more 10-hr fuels that the HD treatment (5.4</w:t>
      </w:r>
      <w:r>
        <w:t xml:space="preserve"> </w:t>
      </w:r>
      <w:r>
        <w:t xml:space="preserve">vs. 3 Mg ha</w:t>
      </w:r>
      <w:r>
        <w:rPr>
          <w:vertAlign w:val="superscript"/>
        </w:rPr>
        <w:t xml:space="preserve">-1</w:t>
      </w:r>
      <w:r>
        <w:t xml:space="preserve">, p = 0.001). Hundred-hour fuels were also greatest in the GS</w:t>
      </w:r>
      <w:r>
        <w:t xml:space="preserve"> </w:t>
      </w:r>
      <w:r>
        <w:t xml:space="preserve">treatment, with an average of about 19 Mg ha</w:t>
      </w:r>
      <w:r>
        <w:rPr>
          <w:vertAlign w:val="superscript"/>
        </w:rPr>
        <w:t xml:space="preserve">-1</w:t>
      </w:r>
      <w:r>
        <w:t xml:space="preserve">, which was about 2.6 times</w:t>
      </w:r>
      <w:r>
        <w:t xml:space="preserve"> </w:t>
      </w:r>
      <w:r>
        <w:t xml:space="preserve">greater than in the HD treatment (7 Mg ha</w:t>
      </w:r>
      <w:r>
        <w:rPr>
          <w:vertAlign w:val="superscript"/>
        </w:rPr>
        <w:t xml:space="preserve">-1</w:t>
      </w:r>
      <w:r>
        <w:t xml:space="preserve">, p &lt; 0.001). Thousand-hour fuels</w:t>
      </w:r>
      <w:r>
        <w:t xml:space="preserve"> </w:t>
      </w:r>
      <w:r>
        <w:t xml:space="preserve">were greatest in the HD treatment, with 80 Mg ha</w:t>
      </w:r>
      <w:r>
        <w:rPr>
          <w:vertAlign w:val="superscript"/>
        </w:rPr>
        <w:t xml:space="preserve">-1</w:t>
      </w:r>
      <w:r>
        <w:t xml:space="preserve">, which was about 2.7 times</w:t>
      </w:r>
      <w:r>
        <w:t xml:space="preserve"> </w:t>
      </w:r>
      <w:r>
        <w:t xml:space="preserve">greater than the LD and HD treatments (p = 0.03 and p = 0.05, respectively).</w:t>
      </w:r>
      <w:r>
        <w:t xml:space="preserve"> </w:t>
      </w:r>
      <w:r>
        <w:t xml:space="preserve">Fuel loading for live vegetation was similar across treatments at around 2.5 Mg</w:t>
      </w:r>
      <w:r>
        <w:t xml:space="preserve"> </w:t>
      </w:r>
      <w:r>
        <w:t xml:space="preserve">ha</w:t>
      </w:r>
      <w:r>
        <w:rPr>
          <w:vertAlign w:val="superscript"/>
        </w:rPr>
        <w:t xml:space="preserve">-1</w:t>
      </w:r>
      <w:r>
        <w:t xml:space="preserve">. The pre-post vegetation difference was greatest in the GS treatment at</w:t>
      </w:r>
      <w:r>
        <w:t xml:space="preserve"> </w:t>
      </w:r>
      <w:r>
        <w:t xml:space="preserve">about 31 Mg ha</w:t>
      </w:r>
      <w:r>
        <w:rPr>
          <w:vertAlign w:val="superscript"/>
        </w:rPr>
        <w:t xml:space="preserve">-1</w:t>
      </w:r>
      <w:r>
        <w:t xml:space="preserve">, which was 2.5 and 2.8 times the HD and HA treatments,</w:t>
      </w:r>
      <w:r>
        <w:t xml:space="preserve"> </w:t>
      </w:r>
      <w:r>
        <w:t xml:space="preserve">respectively (p ≈ 0.01).</w:t>
      </w:r>
    </w:p>
    <w:tbl>
      <w:tblPr>
        <w:tblStyle w:val="Table"/>
        <w:tblW w:type="pct" w:w="5000"/>
        <w:tblLook w:firstRow="0" w:lastRow="0" w:firstColumn="0" w:lastColumn="0" w:noHBand="0" w:noVBand="0" w:val="0000"/>
        <w:jc w:val="start"/>
        <w:tblLayout w:type="fixed"/>
      </w:tblPr>
      <w:tblGrid>
        <w:gridCol w:w="7920"/>
      </w:tblGrid>
      <w:tr>
        <w:tc>
          <w:tcPr/>
          <w:bookmarkStart w:id="108" w:name="fig-fuel-post-pct"/>
          <w:p>
            <w:pPr>
              <w:pStyle w:val="Compact"/>
              <w:jc w:val="center"/>
            </w:pPr>
            <w:r>
              <w:drawing>
                <wp:inline>
                  <wp:extent cx="5334000" cy="2667000"/>
                  <wp:effectExtent b="0" l="0" r="0" t="0"/>
                  <wp:docPr descr="" title="" id="106" name="Picture"/>
                  <a:graphic>
                    <a:graphicData uri="http://schemas.openxmlformats.org/drawingml/2006/picture">
                      <pic:pic>
                        <pic:nvPicPr>
                          <pic:cNvPr descr="thesis/results_files/figure-docx/fig-fuel-post-pct-1.png" id="107" name="Picture"/>
                          <pic:cNvPicPr>
                            <a:picLocks noChangeArrowheads="1" noChangeAspect="1"/>
                          </pic:cNvPicPr>
                        </pic:nvPicPr>
                        <pic:blipFill>
                          <a:blip r:embed="rId105"/>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3.8: Estimated marginal means (black dots) confidence intervals (gray bars) and comparisons (blue arrows) of fuel loading across four treatments for six different fuel-class models. Non-overlapping blue arrows indicates statistical significance at the α = 0.05 level. Vegetation difference equals the transect level difference in vegetation load in the pre and post-pct conditions. This represents slash fuels recruited to the forest floor following the pre-commercial thinning.</w:t>
            </w:r>
          </w:p>
          <w:bookmarkEnd w:id="108"/>
        </w:tc>
      </w:tr>
    </w:tbl>
    <w:tbl>
      <w:tblPr>
        <w:tblStyle w:val="Table"/>
        <w:tblW w:type="pct" w:w="5000"/>
        <w:tblLook w:firstRow="0" w:lastRow="0" w:firstColumn="0" w:lastColumn="0" w:noHBand="0" w:noVBand="0" w:val="0000"/>
        <w:jc w:val="start"/>
        <w:tblLayout w:type="fixed"/>
      </w:tblPr>
      <w:tblGrid>
        <w:gridCol w:w="7920"/>
      </w:tblGrid>
      <w:tr>
        <w:tc>
          <w:tcPr/>
          <w:bookmarkStart w:id="109" w:name="tbl-fuel-post-pct-means"/>
          <w:p>
            <w:pPr>
              <w:jc w:val="center"/>
            </w:pPr>
            <w:pPr>
              <w:jc w:val="start"/>
              <w:spacing w:before="200"/>
              <w:pStyle w:val="ImageCaption"/>
            </w:pPr>
            <w:r>
              <w:t xml:space="preserve">Table 3.13: Estimated marginal means (Mg ha</w:t>
            </w:r>
            <w:r>
              <w:rPr>
                <w:vertAlign w:val="superscript"/>
              </w:rPr>
              <w:t xml:space="preserve">-1</w:t>
            </w:r>
            <w:r>
              <w:t xml:space="preserve">) for six fuel classes and four overstory treatments before pct</w:t>
            </w:r>
          </w:p>
          <w:tbl>
            <w:tblPr>
              <w:tblStyle w:val="Table"/>
              <w:tblW w:type="pct" w:w="4675"/>
              <w:tblLook w:firstRow="1" w:lastRow="0" w:firstColumn="0" w:lastColumn="0" w:noHBand="0" w:noVBand="0" w:val="0020"/>
              <w:jc w:val="start"/>
              <w:tblLayout w:type="fixed"/>
            </w:tblPr>
            <w:tblGrid>
              <w:gridCol w:w="1131"/>
              <w:gridCol w:w="1234"/>
              <w:gridCol w:w="1131"/>
              <w:gridCol w:w="822"/>
              <w:gridCol w:w="617"/>
              <w:gridCol w:w="1234"/>
              <w:gridCol w:w="1234"/>
            </w:tblGrid>
            <w:tr>
              <w:trPr>
                <w:tblHeader w:val="true"/>
              </w:trPr>
              <w:tc>
                <w:tcPr/>
                <w:p>
                  <w:pPr>
                    <w:pStyle w:val="Compact"/>
                    <w:jc w:val="left"/>
                    <w:jc w:val="center"/>
                  </w:pPr>
                  <w:r>
                    <w:t xml:space="preserve">class</w:t>
                  </w:r>
                </w:p>
              </w:tc>
              <w:tc>
                <w:tcPr/>
                <w:p>
                  <w:pPr>
                    <w:pStyle w:val="Compact"/>
                    <w:jc w:val="left"/>
                    <w:jc w:val="center"/>
                  </w:pPr>
                  <w:r>
                    <w:t xml:space="preserve">treatment</w:t>
                  </w:r>
                </w:p>
              </w:tc>
              <w:tc>
                <w:tcPr/>
                <w:p>
                  <w:pPr>
                    <w:pStyle w:val="Compact"/>
                    <w:jc w:val="left"/>
                    <w:jc w:val="center"/>
                  </w:pPr>
                  <w:r>
                    <w:t xml:space="preserve">estimate</w:t>
                  </w:r>
                </w:p>
              </w:tc>
              <w:tc>
                <w:tcPr/>
                <w:p>
                  <w:pPr>
                    <w:pStyle w:val="Compact"/>
                    <w:jc w:val="left"/>
                    <w:jc w:val="center"/>
                  </w:pPr>
                  <w:r>
                    <w:t xml:space="preserve">SE</w:t>
                  </w:r>
                </w:p>
              </w:tc>
              <w:tc>
                <w:tcPr/>
                <w:p>
                  <w:pPr>
                    <w:pStyle w:val="Compact"/>
                    <w:jc w:val="left"/>
                    <w:jc w:val="center"/>
                  </w:pPr>
                  <w:r>
                    <w:t xml:space="preserve">df</w:t>
                  </w:r>
                </w:p>
              </w:tc>
              <w:tc>
                <w:tcPr/>
                <w:p>
                  <w:pPr>
                    <w:pStyle w:val="Compact"/>
                    <w:jc w:val="left"/>
                    <w:jc w:val="center"/>
                  </w:pPr>
                  <w:r>
                    <w:t xml:space="preserve">asymp.LCL</w:t>
                  </w:r>
                </w:p>
              </w:tc>
              <w:tc>
                <w:tcPr/>
                <w:p>
                  <w:pPr>
                    <w:pStyle w:val="Compact"/>
                    <w:jc w:val="left"/>
                    <w:jc w:val="center"/>
                  </w:pPr>
                  <w:r>
                    <w:t xml:space="preserve">asymp.UCL</w:t>
                  </w:r>
                </w:p>
              </w:tc>
            </w:tr>
            <w:tr>
              <w:tc>
                <w:tcPr/>
                <w:p>
                  <w:pPr>
                    <w:pStyle w:val="Compact"/>
                    <w:jc w:val="left"/>
                    <w:jc w:val="center"/>
                  </w:pPr>
                  <w:r>
                    <w:t xml:space="preserve">onehr</w:t>
                  </w:r>
                </w:p>
              </w:tc>
              <w:tc>
                <w:tcPr/>
                <w:p>
                  <w:pPr>
                    <w:pStyle w:val="Compact"/>
                    <w:jc w:val="left"/>
                    <w:jc w:val="center"/>
                  </w:pPr>
                  <w:r>
                    <w:t xml:space="preserve">gs</w:t>
                  </w:r>
                </w:p>
              </w:tc>
              <w:tc>
                <w:tcPr/>
                <w:p>
                  <w:pPr>
                    <w:pStyle w:val="Compact"/>
                    <w:jc w:val="left"/>
                    <w:jc w:val="center"/>
                  </w:pPr>
                  <w:r>
                    <w:t xml:space="preserve">2.6</w:t>
                  </w:r>
                </w:p>
              </w:tc>
              <w:tc>
                <w:tcPr/>
                <w:p>
                  <w:pPr>
                    <w:pStyle w:val="Compact"/>
                    <w:jc w:val="left"/>
                    <w:jc w:val="center"/>
                  </w:pPr>
                  <w:r>
                    <w:t xml:space="preserve">0.5</w:t>
                  </w:r>
                </w:p>
              </w:tc>
              <w:tc>
                <w:tcPr/>
                <w:p>
                  <w:pPr>
                    <w:pStyle w:val="Compact"/>
                    <w:jc w:val="left"/>
                    <w:jc w:val="center"/>
                  </w:pPr>
                  <w:r>
                    <w:t xml:space="preserve">Inf</w:t>
                  </w:r>
                </w:p>
              </w:tc>
              <w:tc>
                <w:tcPr/>
                <w:p>
                  <w:pPr>
                    <w:pStyle w:val="Compact"/>
                    <w:jc w:val="left"/>
                    <w:jc w:val="center"/>
                  </w:pPr>
                  <w:r>
                    <w:t xml:space="preserve">1.63</w:t>
                  </w:r>
                </w:p>
              </w:tc>
              <w:tc>
                <w:tcPr/>
                <w:p>
                  <w:pPr>
                    <w:pStyle w:val="Compact"/>
                    <w:jc w:val="left"/>
                    <w:jc w:val="center"/>
                  </w:pPr>
                  <w:r>
                    <w:t xml:space="preserve">3.6</w:t>
                  </w:r>
                </w:p>
              </w:tc>
            </w:tr>
            <w:tr>
              <w:tc>
                <w:tcPr/>
                <w:p>
                  <w:pPr>
                    <w:pStyle w:val="Compact"/>
                    <w:jc w:val="left"/>
                    <w:jc w:val="center"/>
                  </w:pPr>
                  <w:r>
                    <w:t xml:space="preserve">onehr</w:t>
                  </w:r>
                </w:p>
              </w:tc>
              <w:tc>
                <w:tcPr/>
                <w:p>
                  <w:pPr>
                    <w:pStyle w:val="Compact"/>
                    <w:jc w:val="left"/>
                    <w:jc w:val="center"/>
                  </w:pPr>
                  <w:r>
                    <w:t xml:space="preserve">ld</w:t>
                  </w:r>
                </w:p>
              </w:tc>
              <w:tc>
                <w:tcPr/>
                <w:p>
                  <w:pPr>
                    <w:pStyle w:val="Compact"/>
                    <w:jc w:val="left"/>
                    <w:jc w:val="center"/>
                  </w:pPr>
                  <w:r>
                    <w:t xml:space="preserve">2.8</w:t>
                  </w:r>
                </w:p>
              </w:tc>
              <w:tc>
                <w:tcPr/>
                <w:p>
                  <w:pPr>
                    <w:pStyle w:val="Compact"/>
                    <w:jc w:val="left"/>
                    <w:jc w:val="center"/>
                  </w:pPr>
                  <w:r>
                    <w:t xml:space="preserve">0.55</w:t>
                  </w:r>
                </w:p>
              </w:tc>
              <w:tc>
                <w:tcPr/>
                <w:p>
                  <w:pPr>
                    <w:pStyle w:val="Compact"/>
                    <w:jc w:val="left"/>
                    <w:jc w:val="center"/>
                  </w:pPr>
                  <w:r>
                    <w:t xml:space="preserve">Inf</w:t>
                  </w:r>
                </w:p>
              </w:tc>
              <w:tc>
                <w:tcPr/>
                <w:p>
                  <w:pPr>
                    <w:pStyle w:val="Compact"/>
                    <w:jc w:val="left"/>
                    <w:jc w:val="center"/>
                  </w:pPr>
                  <w:r>
                    <w:t xml:space="preserve">1.71</w:t>
                  </w:r>
                </w:p>
              </w:tc>
              <w:tc>
                <w:tcPr/>
                <w:p>
                  <w:pPr>
                    <w:pStyle w:val="Compact"/>
                    <w:jc w:val="left"/>
                    <w:jc w:val="center"/>
                  </w:pPr>
                  <w:r>
                    <w:t xml:space="preserve">3.9</w:t>
                  </w:r>
                </w:p>
              </w:tc>
            </w:tr>
            <w:tr>
              <w:tc>
                <w:tcPr/>
                <w:p>
                  <w:pPr>
                    <w:pStyle w:val="Compact"/>
                    <w:jc w:val="left"/>
                    <w:jc w:val="center"/>
                  </w:pPr>
                  <w:r>
                    <w:t xml:space="preserve">onehr</w:t>
                  </w:r>
                </w:p>
              </w:tc>
              <w:tc>
                <w:tcPr/>
                <w:p>
                  <w:pPr>
                    <w:pStyle w:val="Compact"/>
                    <w:jc w:val="left"/>
                    <w:jc w:val="center"/>
                  </w:pPr>
                  <w:r>
                    <w:t xml:space="preserve">ha</w:t>
                  </w:r>
                </w:p>
              </w:tc>
              <w:tc>
                <w:tcPr/>
                <w:p>
                  <w:pPr>
                    <w:pStyle w:val="Compact"/>
                    <w:jc w:val="left"/>
                    <w:jc w:val="center"/>
                  </w:pPr>
                  <w:r>
                    <w:t xml:space="preserve">1.4</w:t>
                  </w:r>
                </w:p>
              </w:tc>
              <w:tc>
                <w:tcPr/>
                <w:p>
                  <w:pPr>
                    <w:pStyle w:val="Compact"/>
                    <w:jc w:val="left"/>
                    <w:jc w:val="center"/>
                  </w:pPr>
                  <w:r>
                    <w:t xml:space="preserve">0.25</w:t>
                  </w:r>
                </w:p>
              </w:tc>
              <w:tc>
                <w:tcPr/>
                <w:p>
                  <w:pPr>
                    <w:pStyle w:val="Compact"/>
                    <w:jc w:val="left"/>
                    <w:jc w:val="center"/>
                  </w:pPr>
                  <w:r>
                    <w:t xml:space="preserve">Inf</w:t>
                  </w:r>
                </w:p>
              </w:tc>
              <w:tc>
                <w:tcPr/>
                <w:p>
                  <w:pPr>
                    <w:pStyle w:val="Compact"/>
                    <w:jc w:val="left"/>
                    <w:jc w:val="center"/>
                  </w:pPr>
                  <w:r>
                    <w:t xml:space="preserve">0.89</w:t>
                  </w:r>
                </w:p>
              </w:tc>
              <w:tc>
                <w:tcPr/>
                <w:p>
                  <w:pPr>
                    <w:pStyle w:val="Compact"/>
                    <w:jc w:val="left"/>
                    <w:jc w:val="center"/>
                  </w:pPr>
                  <w:r>
                    <w:t xml:space="preserve">1.9</w:t>
                  </w:r>
                </w:p>
              </w:tc>
            </w:tr>
            <w:tr>
              <w:tc>
                <w:tcPr/>
                <w:p>
                  <w:pPr>
                    <w:pStyle w:val="Compact"/>
                    <w:jc w:val="left"/>
                    <w:jc w:val="center"/>
                  </w:pPr>
                  <w:r>
                    <w:t xml:space="preserve">onehr</w:t>
                  </w:r>
                </w:p>
              </w:tc>
              <w:tc>
                <w:tcPr/>
                <w:p>
                  <w:pPr>
                    <w:pStyle w:val="Compact"/>
                    <w:jc w:val="left"/>
                    <w:jc w:val="center"/>
                  </w:pPr>
                  <w:r>
                    <w:t xml:space="preserve">hd</w:t>
                  </w:r>
                </w:p>
              </w:tc>
              <w:tc>
                <w:tcPr/>
                <w:p>
                  <w:pPr>
                    <w:pStyle w:val="Compact"/>
                    <w:jc w:val="left"/>
                    <w:jc w:val="center"/>
                  </w:pPr>
                  <w:r>
                    <w:t xml:space="preserve">2.2</w:t>
                  </w:r>
                </w:p>
              </w:tc>
              <w:tc>
                <w:tcPr/>
                <w:p>
                  <w:pPr>
                    <w:pStyle w:val="Compact"/>
                    <w:jc w:val="left"/>
                    <w:jc w:val="center"/>
                  </w:pPr>
                  <w:r>
                    <w:t xml:space="preserve">0.38</w:t>
                  </w:r>
                </w:p>
              </w:tc>
              <w:tc>
                <w:tcPr/>
                <w:p>
                  <w:pPr>
                    <w:pStyle w:val="Compact"/>
                    <w:jc w:val="left"/>
                    <w:jc w:val="center"/>
                  </w:pPr>
                  <w:r>
                    <w:t xml:space="preserve">Inf</w:t>
                  </w:r>
                </w:p>
              </w:tc>
              <w:tc>
                <w:tcPr/>
                <w:p>
                  <w:pPr>
                    <w:pStyle w:val="Compact"/>
                    <w:jc w:val="left"/>
                    <w:jc w:val="center"/>
                  </w:pPr>
                  <w:r>
                    <w:t xml:space="preserve">1.47</w:t>
                  </w:r>
                </w:p>
              </w:tc>
              <w:tc>
                <w:tcPr/>
                <w:p>
                  <w:pPr>
                    <w:pStyle w:val="Compact"/>
                    <w:jc w:val="left"/>
                    <w:jc w:val="center"/>
                  </w:pPr>
                  <w:r>
                    <w:t xml:space="preserve">2.9</w:t>
                  </w:r>
                </w:p>
              </w:tc>
            </w:tr>
            <w:tr>
              <w:tc>
                <w:tcPr/>
                <w:p>
                  <w:pPr>
                    <w:pStyle w:val="Compact"/>
                    <w:jc w:val="left"/>
                    <w:jc w:val="center"/>
                  </w:pPr>
                  <w:r>
                    <w:t xml:space="preserve">tenhr</w:t>
                  </w:r>
                </w:p>
              </w:tc>
              <w:tc>
                <w:tcPr/>
                <w:p>
                  <w:pPr>
                    <w:pStyle w:val="Compact"/>
                    <w:jc w:val="left"/>
                    <w:jc w:val="center"/>
                  </w:pPr>
                  <w:r>
                    <w:t xml:space="preserve">gs</w:t>
                  </w:r>
                </w:p>
              </w:tc>
              <w:tc>
                <w:tcPr/>
                <w:p>
                  <w:pPr>
                    <w:pStyle w:val="Compact"/>
                    <w:jc w:val="left"/>
                    <w:jc w:val="center"/>
                  </w:pPr>
                  <w:r>
                    <w:t xml:space="preserve">9</w:t>
                  </w:r>
                </w:p>
              </w:tc>
              <w:tc>
                <w:tcPr/>
                <w:p>
                  <w:pPr>
                    <w:pStyle w:val="Compact"/>
                    <w:jc w:val="left"/>
                    <w:jc w:val="center"/>
                  </w:pPr>
                  <w:r>
                    <w:t xml:space="preserve">1.7</w:t>
                  </w:r>
                </w:p>
              </w:tc>
              <w:tc>
                <w:tcPr/>
                <w:p>
                  <w:pPr>
                    <w:pStyle w:val="Compact"/>
                    <w:jc w:val="left"/>
                    <w:jc w:val="center"/>
                  </w:pPr>
                  <w:r>
                    <w:t xml:space="preserve">Inf</w:t>
                  </w:r>
                </w:p>
              </w:tc>
              <w:tc>
                <w:tcPr/>
                <w:p>
                  <w:pPr>
                    <w:pStyle w:val="Compact"/>
                    <w:jc w:val="left"/>
                    <w:jc w:val="center"/>
                  </w:pPr>
                  <w:r>
                    <w:t xml:space="preserve">5.68</w:t>
                  </w:r>
                </w:p>
              </w:tc>
              <w:tc>
                <w:tcPr/>
                <w:p>
                  <w:pPr>
                    <w:pStyle w:val="Compact"/>
                    <w:jc w:val="left"/>
                    <w:jc w:val="center"/>
                  </w:pPr>
                  <w:r>
                    <w:t xml:space="preserve">12.3</w:t>
                  </w:r>
                </w:p>
              </w:tc>
            </w:tr>
            <w:tr>
              <w:tc>
                <w:tcPr/>
                <w:p>
                  <w:pPr>
                    <w:pStyle w:val="Compact"/>
                    <w:jc w:val="left"/>
                    <w:jc w:val="center"/>
                  </w:pPr>
                  <w:r>
                    <w:t xml:space="preserve">tenhr</w:t>
                  </w:r>
                </w:p>
              </w:tc>
              <w:tc>
                <w:tcPr/>
                <w:p>
                  <w:pPr>
                    <w:pStyle w:val="Compact"/>
                    <w:jc w:val="left"/>
                    <w:jc w:val="center"/>
                  </w:pPr>
                  <w:r>
                    <w:t xml:space="preserve">ld</w:t>
                  </w:r>
                </w:p>
              </w:tc>
              <w:tc>
                <w:tcPr/>
                <w:p>
                  <w:pPr>
                    <w:pStyle w:val="Compact"/>
                    <w:jc w:val="left"/>
                    <w:jc w:val="center"/>
                  </w:pPr>
                  <w:r>
                    <w:t xml:space="preserve">5.5</w:t>
                  </w:r>
                </w:p>
              </w:tc>
              <w:tc>
                <w:tcPr/>
                <w:p>
                  <w:pPr>
                    <w:pStyle w:val="Compact"/>
                    <w:jc w:val="left"/>
                    <w:jc w:val="center"/>
                  </w:pPr>
                  <w:r>
                    <w:t xml:space="preserve">1.05</w:t>
                  </w:r>
                </w:p>
              </w:tc>
              <w:tc>
                <w:tcPr/>
                <w:p>
                  <w:pPr>
                    <w:pStyle w:val="Compact"/>
                    <w:jc w:val="left"/>
                    <w:jc w:val="center"/>
                  </w:pPr>
                  <w:r>
                    <w:t xml:space="preserve">Inf</w:t>
                  </w:r>
                </w:p>
              </w:tc>
              <w:tc>
                <w:tcPr/>
                <w:p>
                  <w:pPr>
                    <w:pStyle w:val="Compact"/>
                    <w:jc w:val="left"/>
                    <w:jc w:val="center"/>
                  </w:pPr>
                  <w:r>
                    <w:t xml:space="preserve">3.44</w:t>
                  </w:r>
                </w:p>
              </w:tc>
              <w:tc>
                <w:tcPr/>
                <w:p>
                  <w:pPr>
                    <w:pStyle w:val="Compact"/>
                    <w:jc w:val="left"/>
                    <w:jc w:val="center"/>
                  </w:pPr>
                  <w:r>
                    <w:t xml:space="preserve">7.6</w:t>
                  </w:r>
                </w:p>
              </w:tc>
            </w:tr>
            <w:tr>
              <w:tc>
                <w:tcPr/>
                <w:p>
                  <w:pPr>
                    <w:pStyle w:val="Compact"/>
                    <w:jc w:val="left"/>
                    <w:jc w:val="center"/>
                  </w:pPr>
                  <w:r>
                    <w:t xml:space="preserve">tenhr</w:t>
                  </w:r>
                </w:p>
              </w:tc>
              <w:tc>
                <w:tcPr/>
                <w:p>
                  <w:pPr>
                    <w:pStyle w:val="Compact"/>
                    <w:jc w:val="left"/>
                    <w:jc w:val="center"/>
                  </w:pPr>
                  <w:r>
                    <w:t xml:space="preserve">ha</w:t>
                  </w:r>
                </w:p>
              </w:tc>
              <w:tc>
                <w:tcPr/>
                <w:p>
                  <w:pPr>
                    <w:pStyle w:val="Compact"/>
                    <w:jc w:val="left"/>
                    <w:jc w:val="center"/>
                  </w:pPr>
                  <w:r>
                    <w:t xml:space="preserve">3.9</w:t>
                  </w:r>
                </w:p>
              </w:tc>
              <w:tc>
                <w:tcPr/>
                <w:p>
                  <w:pPr>
                    <w:pStyle w:val="Compact"/>
                    <w:jc w:val="left"/>
                    <w:jc w:val="center"/>
                  </w:pPr>
                  <w:r>
                    <w:t xml:space="preserve">0.73</w:t>
                  </w:r>
                </w:p>
              </w:tc>
              <w:tc>
                <w:tcPr/>
                <w:p>
                  <w:pPr>
                    <w:pStyle w:val="Compact"/>
                    <w:jc w:val="left"/>
                    <w:jc w:val="center"/>
                  </w:pPr>
                  <w:r>
                    <w:t xml:space="preserve">Inf</w:t>
                  </w:r>
                </w:p>
              </w:tc>
              <w:tc>
                <w:tcPr/>
                <w:p>
                  <w:pPr>
                    <w:pStyle w:val="Compact"/>
                    <w:jc w:val="left"/>
                    <w:jc w:val="center"/>
                  </w:pPr>
                  <w:r>
                    <w:t xml:space="preserve">2.41</w:t>
                  </w:r>
                </w:p>
              </w:tc>
              <w:tc>
                <w:tcPr/>
                <w:p>
                  <w:pPr>
                    <w:pStyle w:val="Compact"/>
                    <w:jc w:val="left"/>
                    <w:jc w:val="center"/>
                  </w:pPr>
                  <w:r>
                    <w:t xml:space="preserve">5.3</w:t>
                  </w:r>
                </w:p>
              </w:tc>
            </w:tr>
            <w:tr>
              <w:tc>
                <w:tcPr/>
                <w:p>
                  <w:pPr>
                    <w:pStyle w:val="Compact"/>
                    <w:jc w:val="left"/>
                    <w:jc w:val="center"/>
                  </w:pPr>
                  <w:r>
                    <w:t xml:space="preserve">tenhr</w:t>
                  </w:r>
                </w:p>
              </w:tc>
              <w:tc>
                <w:tcPr/>
                <w:p>
                  <w:pPr>
                    <w:pStyle w:val="Compact"/>
                    <w:jc w:val="left"/>
                    <w:jc w:val="center"/>
                  </w:pPr>
                  <w:r>
                    <w:t xml:space="preserve">hd</w:t>
                  </w:r>
                </w:p>
              </w:tc>
              <w:tc>
                <w:tcPr/>
                <w:p>
                  <w:pPr>
                    <w:pStyle w:val="Compact"/>
                    <w:jc w:val="left"/>
                    <w:jc w:val="center"/>
                  </w:pPr>
                  <w:r>
                    <w:t xml:space="preserve">3.1</w:t>
                  </w:r>
                </w:p>
              </w:tc>
              <w:tc>
                <w:tcPr/>
                <w:p>
                  <w:pPr>
                    <w:pStyle w:val="Compact"/>
                    <w:jc w:val="left"/>
                    <w:jc w:val="center"/>
                  </w:pPr>
                  <w:r>
                    <w:t xml:space="preserve">0.59</w:t>
                  </w:r>
                </w:p>
              </w:tc>
              <w:tc>
                <w:tcPr/>
                <w:p>
                  <w:pPr>
                    <w:pStyle w:val="Compact"/>
                    <w:jc w:val="left"/>
                    <w:jc w:val="center"/>
                  </w:pPr>
                  <w:r>
                    <w:t xml:space="preserve">Inf</w:t>
                  </w:r>
                </w:p>
              </w:tc>
              <w:tc>
                <w:tcPr/>
                <w:p>
                  <w:pPr>
                    <w:pStyle w:val="Compact"/>
                    <w:jc w:val="left"/>
                    <w:jc w:val="center"/>
                  </w:pPr>
                  <w:r>
                    <w:t xml:space="preserve">1.92</w:t>
                  </w:r>
                </w:p>
              </w:tc>
              <w:tc>
                <w:tcPr/>
                <w:p>
                  <w:pPr>
                    <w:pStyle w:val="Compact"/>
                    <w:jc w:val="left"/>
                    <w:jc w:val="center"/>
                  </w:pPr>
                  <w:r>
                    <w:t xml:space="preserve">4.2</w:t>
                  </w:r>
                </w:p>
              </w:tc>
            </w:tr>
            <w:tr>
              <w:tc>
                <w:tcPr/>
                <w:p>
                  <w:pPr>
                    <w:pStyle w:val="Compact"/>
                    <w:jc w:val="left"/>
                    <w:jc w:val="center"/>
                  </w:pPr>
                  <w:r>
                    <w:t xml:space="preserve">hundhr</w:t>
                  </w:r>
                </w:p>
              </w:tc>
              <w:tc>
                <w:tcPr/>
                <w:p>
                  <w:pPr>
                    <w:pStyle w:val="Compact"/>
                    <w:jc w:val="left"/>
                    <w:jc w:val="center"/>
                  </w:pPr>
                  <w:r>
                    <w:t xml:space="preserve">gs</w:t>
                  </w:r>
                </w:p>
              </w:tc>
              <w:tc>
                <w:tcPr/>
                <w:p>
                  <w:pPr>
                    <w:pStyle w:val="Compact"/>
                    <w:jc w:val="left"/>
                    <w:jc w:val="center"/>
                  </w:pPr>
                  <w:r>
                    <w:t xml:space="preserve">19.1</w:t>
                  </w:r>
                </w:p>
              </w:tc>
              <w:tc>
                <w:tcPr/>
                <w:p>
                  <w:pPr>
                    <w:pStyle w:val="Compact"/>
                    <w:jc w:val="left"/>
                    <w:jc w:val="center"/>
                  </w:pPr>
                  <w:r>
                    <w:t xml:space="preserve">4.52</w:t>
                  </w:r>
                </w:p>
              </w:tc>
              <w:tc>
                <w:tcPr/>
                <w:p>
                  <w:pPr>
                    <w:pStyle w:val="Compact"/>
                    <w:jc w:val="left"/>
                    <w:jc w:val="center"/>
                  </w:pPr>
                  <w:r>
                    <w:t xml:space="preserve">Inf</w:t>
                  </w:r>
                </w:p>
              </w:tc>
              <w:tc>
                <w:tcPr/>
                <w:p>
                  <w:pPr>
                    <w:pStyle w:val="Compact"/>
                    <w:jc w:val="left"/>
                    <w:jc w:val="center"/>
                  </w:pPr>
                  <w:r>
                    <w:t xml:space="preserve">10.26</w:t>
                  </w:r>
                </w:p>
              </w:tc>
              <w:tc>
                <w:tcPr/>
                <w:p>
                  <w:pPr>
                    <w:pStyle w:val="Compact"/>
                    <w:jc w:val="left"/>
                    <w:jc w:val="center"/>
                  </w:pPr>
                  <w:r>
                    <w:t xml:space="preserve">28</w:t>
                  </w:r>
                </w:p>
              </w:tc>
            </w:tr>
            <w:tr>
              <w:tc>
                <w:tcPr/>
                <w:p>
                  <w:pPr>
                    <w:pStyle w:val="Compact"/>
                    <w:jc w:val="left"/>
                    <w:jc w:val="center"/>
                  </w:pPr>
                  <w:r>
                    <w:t xml:space="preserve">hundhr</w:t>
                  </w:r>
                </w:p>
              </w:tc>
              <w:tc>
                <w:tcPr/>
                <w:p>
                  <w:pPr>
                    <w:pStyle w:val="Compact"/>
                    <w:jc w:val="left"/>
                    <w:jc w:val="center"/>
                  </w:pPr>
                  <w:r>
                    <w:t xml:space="preserve">ld</w:t>
                  </w:r>
                </w:p>
              </w:tc>
              <w:tc>
                <w:tcPr/>
                <w:p>
                  <w:pPr>
                    <w:pStyle w:val="Compact"/>
                    <w:jc w:val="left"/>
                    <w:jc w:val="center"/>
                  </w:pPr>
                  <w:r>
                    <w:t xml:space="preserve">13.2</w:t>
                  </w:r>
                </w:p>
              </w:tc>
              <w:tc>
                <w:tcPr/>
                <w:p>
                  <w:pPr>
                    <w:pStyle w:val="Compact"/>
                    <w:jc w:val="left"/>
                    <w:jc w:val="center"/>
                  </w:pPr>
                  <w:r>
                    <w:t xml:space="preserve">2.97</w:t>
                  </w:r>
                </w:p>
              </w:tc>
              <w:tc>
                <w:tcPr/>
                <w:p>
                  <w:pPr>
                    <w:pStyle w:val="Compact"/>
                    <w:jc w:val="left"/>
                    <w:jc w:val="center"/>
                  </w:pPr>
                  <w:r>
                    <w:t xml:space="preserve">Inf</w:t>
                  </w:r>
                </w:p>
              </w:tc>
              <w:tc>
                <w:tcPr/>
                <w:p>
                  <w:pPr>
                    <w:pStyle w:val="Compact"/>
                    <w:jc w:val="left"/>
                    <w:jc w:val="center"/>
                  </w:pPr>
                  <w:r>
                    <w:t xml:space="preserve">7.36</w:t>
                  </w:r>
                </w:p>
              </w:tc>
              <w:tc>
                <w:tcPr/>
                <w:p>
                  <w:pPr>
                    <w:pStyle w:val="Compact"/>
                    <w:jc w:val="left"/>
                    <w:jc w:val="center"/>
                  </w:pPr>
                  <w:r>
                    <w:t xml:space="preserve">19</w:t>
                  </w:r>
                </w:p>
              </w:tc>
            </w:tr>
            <w:tr>
              <w:tc>
                <w:tcPr/>
                <w:p>
                  <w:pPr>
                    <w:pStyle w:val="Compact"/>
                    <w:jc w:val="left"/>
                    <w:jc w:val="center"/>
                  </w:pPr>
                  <w:r>
                    <w:t xml:space="preserve">hundhr</w:t>
                  </w:r>
                </w:p>
              </w:tc>
              <w:tc>
                <w:tcPr/>
                <w:p>
                  <w:pPr>
                    <w:pStyle w:val="Compact"/>
                    <w:jc w:val="left"/>
                    <w:jc w:val="center"/>
                  </w:pPr>
                  <w:r>
                    <w:t xml:space="preserve">ha</w:t>
                  </w:r>
                </w:p>
              </w:tc>
              <w:tc>
                <w:tcPr/>
                <w:p>
                  <w:pPr>
                    <w:pStyle w:val="Compact"/>
                    <w:jc w:val="left"/>
                    <w:jc w:val="center"/>
                  </w:pPr>
                  <w:r>
                    <w:t xml:space="preserve">10.5</w:t>
                  </w:r>
                </w:p>
              </w:tc>
              <w:tc>
                <w:tcPr/>
                <w:p>
                  <w:pPr>
                    <w:pStyle w:val="Compact"/>
                    <w:jc w:val="left"/>
                    <w:jc w:val="center"/>
                  </w:pPr>
                  <w:r>
                    <w:t xml:space="preserve">2.41</w:t>
                  </w:r>
                </w:p>
              </w:tc>
              <w:tc>
                <w:tcPr/>
                <w:p>
                  <w:pPr>
                    <w:pStyle w:val="Compact"/>
                    <w:jc w:val="left"/>
                    <w:jc w:val="center"/>
                  </w:pPr>
                  <w:r>
                    <w:t xml:space="preserve">Inf</w:t>
                  </w:r>
                </w:p>
              </w:tc>
              <w:tc>
                <w:tcPr/>
                <w:p>
                  <w:pPr>
                    <w:pStyle w:val="Compact"/>
                    <w:jc w:val="left"/>
                    <w:jc w:val="center"/>
                  </w:pPr>
                  <w:r>
                    <w:t xml:space="preserve">5.81</w:t>
                  </w:r>
                </w:p>
              </w:tc>
              <w:tc>
                <w:tcPr/>
                <w:p>
                  <w:pPr>
                    <w:pStyle w:val="Compact"/>
                    <w:jc w:val="left"/>
                    <w:jc w:val="center"/>
                  </w:pPr>
                  <w:r>
                    <w:t xml:space="preserve">15.3</w:t>
                  </w:r>
                </w:p>
              </w:tc>
            </w:tr>
            <w:tr>
              <w:tc>
                <w:tcPr/>
                <w:p>
                  <w:pPr>
                    <w:pStyle w:val="Compact"/>
                    <w:jc w:val="left"/>
                    <w:jc w:val="center"/>
                  </w:pPr>
                  <w:r>
                    <w:t xml:space="preserve">hundhr</w:t>
                  </w:r>
                </w:p>
              </w:tc>
              <w:tc>
                <w:tcPr/>
                <w:p>
                  <w:pPr>
                    <w:pStyle w:val="Compact"/>
                    <w:jc w:val="left"/>
                    <w:jc w:val="center"/>
                  </w:pPr>
                  <w:r>
                    <w:t xml:space="preserve">hd</w:t>
                  </w:r>
                </w:p>
              </w:tc>
              <w:tc>
                <w:tcPr/>
                <w:p>
                  <w:pPr>
                    <w:pStyle w:val="Compact"/>
                    <w:jc w:val="left"/>
                    <w:jc w:val="center"/>
                  </w:pPr>
                  <w:r>
                    <w:t xml:space="preserve">7.4</w:t>
                  </w:r>
                </w:p>
              </w:tc>
              <w:tc>
                <w:tcPr/>
                <w:p>
                  <w:pPr>
                    <w:pStyle w:val="Compact"/>
                    <w:jc w:val="left"/>
                    <w:jc w:val="center"/>
                  </w:pPr>
                  <w:r>
                    <w:t xml:space="preserve">1.74</w:t>
                  </w:r>
                </w:p>
              </w:tc>
              <w:tc>
                <w:tcPr/>
                <w:p>
                  <w:pPr>
                    <w:pStyle w:val="Compact"/>
                    <w:jc w:val="left"/>
                    <w:jc w:val="center"/>
                  </w:pPr>
                  <w:r>
                    <w:t xml:space="preserve">Inf</w:t>
                  </w:r>
                </w:p>
              </w:tc>
              <w:tc>
                <w:tcPr/>
                <w:p>
                  <w:pPr>
                    <w:pStyle w:val="Compact"/>
                    <w:jc w:val="left"/>
                    <w:jc w:val="center"/>
                  </w:pPr>
                  <w:r>
                    <w:t xml:space="preserve">4.03</w:t>
                  </w:r>
                </w:p>
              </w:tc>
              <w:tc>
                <w:tcPr/>
                <w:p>
                  <w:pPr>
                    <w:pStyle w:val="Compact"/>
                    <w:jc w:val="left"/>
                    <w:jc w:val="center"/>
                  </w:pPr>
                  <w:r>
                    <w:t xml:space="preserve">10.8</w:t>
                  </w:r>
                </w:p>
              </w:tc>
            </w:tr>
            <w:tr>
              <w:tc>
                <w:tcPr/>
                <w:p>
                  <w:pPr>
                    <w:pStyle w:val="Compact"/>
                    <w:jc w:val="left"/>
                    <w:jc w:val="center"/>
                  </w:pPr>
                  <w:r>
                    <w:t xml:space="preserve">thoushr</w:t>
                  </w:r>
                </w:p>
              </w:tc>
              <w:tc>
                <w:tcPr/>
                <w:p>
                  <w:pPr>
                    <w:pStyle w:val="Compact"/>
                    <w:jc w:val="left"/>
                    <w:jc w:val="center"/>
                  </w:pPr>
                  <w:r>
                    <w:t xml:space="preserve">gs</w:t>
                  </w:r>
                </w:p>
              </w:tc>
              <w:tc>
                <w:tcPr/>
                <w:p>
                  <w:pPr>
                    <w:pStyle w:val="Compact"/>
                    <w:jc w:val="left"/>
                    <w:jc w:val="center"/>
                  </w:pPr>
                  <w:r>
                    <w:t xml:space="preserve">43.9</w:t>
                  </w:r>
                </w:p>
              </w:tc>
              <w:tc>
                <w:tcPr/>
                <w:p>
                  <w:pPr>
                    <w:pStyle w:val="Compact"/>
                    <w:jc w:val="left"/>
                    <w:jc w:val="center"/>
                  </w:pPr>
                  <w:r>
                    <w:t xml:space="preserve">10.61</w:t>
                  </w:r>
                </w:p>
              </w:tc>
              <w:tc>
                <w:tcPr/>
                <w:p>
                  <w:pPr>
                    <w:pStyle w:val="Compact"/>
                    <w:jc w:val="left"/>
                    <w:jc w:val="center"/>
                  </w:pPr>
                  <w:r>
                    <w:t xml:space="preserve">Inf</w:t>
                  </w:r>
                </w:p>
              </w:tc>
              <w:tc>
                <w:tcPr/>
                <w:p>
                  <w:pPr>
                    <w:pStyle w:val="Compact"/>
                    <w:jc w:val="left"/>
                    <w:jc w:val="center"/>
                  </w:pPr>
                  <w:r>
                    <w:t xml:space="preserve">23.08</w:t>
                  </w:r>
                </w:p>
              </w:tc>
              <w:tc>
                <w:tcPr/>
                <w:p>
                  <w:pPr>
                    <w:pStyle w:val="Compact"/>
                    <w:jc w:val="left"/>
                    <w:jc w:val="center"/>
                  </w:pPr>
                  <w:r>
                    <w:t xml:space="preserve">64.7</w:t>
                  </w:r>
                </w:p>
              </w:tc>
            </w:tr>
            <w:tr>
              <w:tc>
                <w:tcPr/>
                <w:p>
                  <w:pPr>
                    <w:pStyle w:val="Compact"/>
                    <w:jc w:val="left"/>
                    <w:jc w:val="center"/>
                  </w:pPr>
                  <w:r>
                    <w:t xml:space="preserve">thoushr</w:t>
                  </w:r>
                </w:p>
              </w:tc>
              <w:tc>
                <w:tcPr/>
                <w:p>
                  <w:pPr>
                    <w:pStyle w:val="Compact"/>
                    <w:jc w:val="left"/>
                    <w:jc w:val="center"/>
                  </w:pPr>
                  <w:r>
                    <w:t xml:space="preserve">ld</w:t>
                  </w:r>
                </w:p>
              </w:tc>
              <w:tc>
                <w:tcPr/>
                <w:p>
                  <w:pPr>
                    <w:pStyle w:val="Compact"/>
                    <w:jc w:val="left"/>
                    <w:jc w:val="center"/>
                  </w:pPr>
                  <w:r>
                    <w:t xml:space="preserve">22.8</w:t>
                  </w:r>
                </w:p>
              </w:tc>
              <w:tc>
                <w:tcPr/>
                <w:p>
                  <w:pPr>
                    <w:pStyle w:val="Compact"/>
                    <w:jc w:val="left"/>
                    <w:jc w:val="center"/>
                  </w:pPr>
                  <w:r>
                    <w:t xml:space="preserve">5.33</w:t>
                  </w:r>
                </w:p>
              </w:tc>
              <w:tc>
                <w:tcPr/>
                <w:p>
                  <w:pPr>
                    <w:pStyle w:val="Compact"/>
                    <w:jc w:val="left"/>
                    <w:jc w:val="center"/>
                  </w:pPr>
                  <w:r>
                    <w:t xml:space="preserve">Inf</w:t>
                  </w:r>
                </w:p>
              </w:tc>
              <w:tc>
                <w:tcPr/>
                <w:p>
                  <w:pPr>
                    <w:pStyle w:val="Compact"/>
                    <w:jc w:val="left"/>
                    <w:jc w:val="center"/>
                  </w:pPr>
                  <w:r>
                    <w:t xml:space="preserve">12.31</w:t>
                  </w:r>
                </w:p>
              </w:tc>
              <w:tc>
                <w:tcPr/>
                <w:p>
                  <w:pPr>
                    <w:pStyle w:val="Compact"/>
                    <w:jc w:val="left"/>
                    <w:jc w:val="center"/>
                  </w:pPr>
                  <w:r>
                    <w:t xml:space="preserve">33.2</w:t>
                  </w:r>
                </w:p>
              </w:tc>
            </w:tr>
            <w:tr>
              <w:tc>
                <w:tcPr/>
                <w:p>
                  <w:pPr>
                    <w:pStyle w:val="Compact"/>
                    <w:jc w:val="left"/>
                    <w:jc w:val="center"/>
                  </w:pPr>
                  <w:r>
                    <w:t xml:space="preserve">thoushr</w:t>
                  </w:r>
                </w:p>
              </w:tc>
              <w:tc>
                <w:tcPr/>
                <w:p>
                  <w:pPr>
                    <w:pStyle w:val="Compact"/>
                    <w:jc w:val="left"/>
                    <w:jc w:val="center"/>
                  </w:pPr>
                  <w:r>
                    <w:t xml:space="preserve">ha</w:t>
                  </w:r>
                </w:p>
              </w:tc>
              <w:tc>
                <w:tcPr/>
                <w:p>
                  <w:pPr>
                    <w:pStyle w:val="Compact"/>
                    <w:jc w:val="left"/>
                    <w:jc w:val="center"/>
                  </w:pPr>
                  <w:r>
                    <w:t xml:space="preserve">23.2</w:t>
                  </w:r>
                </w:p>
              </w:tc>
              <w:tc>
                <w:tcPr/>
                <w:p>
                  <w:pPr>
                    <w:pStyle w:val="Compact"/>
                    <w:jc w:val="left"/>
                    <w:jc w:val="center"/>
                  </w:pPr>
                  <w:r>
                    <w:t xml:space="preserve">6.21</w:t>
                  </w:r>
                </w:p>
              </w:tc>
              <w:tc>
                <w:tcPr/>
                <w:p>
                  <w:pPr>
                    <w:pStyle w:val="Compact"/>
                    <w:jc w:val="left"/>
                    <w:jc w:val="center"/>
                  </w:pPr>
                  <w:r>
                    <w:t xml:space="preserve">Inf</w:t>
                  </w:r>
                </w:p>
              </w:tc>
              <w:tc>
                <w:tcPr/>
                <w:p>
                  <w:pPr>
                    <w:pStyle w:val="Compact"/>
                    <w:jc w:val="left"/>
                    <w:jc w:val="center"/>
                  </w:pPr>
                  <w:r>
                    <w:t xml:space="preserve">11.04</w:t>
                  </w:r>
                </w:p>
              </w:tc>
              <w:tc>
                <w:tcPr/>
                <w:p>
                  <w:pPr>
                    <w:pStyle w:val="Compact"/>
                    <w:jc w:val="left"/>
                    <w:jc w:val="center"/>
                  </w:pPr>
                  <w:r>
                    <w:t xml:space="preserve">35.4</w:t>
                  </w:r>
                </w:p>
              </w:tc>
            </w:tr>
            <w:tr>
              <w:tc>
                <w:tcPr/>
                <w:p>
                  <w:pPr>
                    <w:pStyle w:val="Compact"/>
                    <w:jc w:val="left"/>
                    <w:jc w:val="center"/>
                  </w:pPr>
                  <w:r>
                    <w:t xml:space="preserve">thoushr</w:t>
                  </w:r>
                </w:p>
              </w:tc>
              <w:tc>
                <w:tcPr/>
                <w:p>
                  <w:pPr>
                    <w:pStyle w:val="Compact"/>
                    <w:jc w:val="left"/>
                    <w:jc w:val="center"/>
                  </w:pPr>
                  <w:r>
                    <w:t xml:space="preserve">hd</w:t>
                  </w:r>
                </w:p>
              </w:tc>
              <w:tc>
                <w:tcPr/>
                <w:p>
                  <w:pPr>
                    <w:pStyle w:val="Compact"/>
                    <w:jc w:val="left"/>
                    <w:jc w:val="center"/>
                  </w:pPr>
                  <w:r>
                    <w:t xml:space="preserve">60.5</w:t>
                  </w:r>
                </w:p>
              </w:tc>
              <w:tc>
                <w:tcPr/>
                <w:p>
                  <w:pPr>
                    <w:pStyle w:val="Compact"/>
                    <w:jc w:val="left"/>
                    <w:jc w:val="center"/>
                  </w:pPr>
                  <w:r>
                    <w:t xml:space="preserve">16.55</w:t>
                  </w:r>
                </w:p>
              </w:tc>
              <w:tc>
                <w:tcPr/>
                <w:p>
                  <w:pPr>
                    <w:pStyle w:val="Compact"/>
                    <w:jc w:val="left"/>
                    <w:jc w:val="center"/>
                  </w:pPr>
                  <w:r>
                    <w:t xml:space="preserve">Inf</w:t>
                  </w:r>
                </w:p>
              </w:tc>
              <w:tc>
                <w:tcPr/>
                <w:p>
                  <w:pPr>
                    <w:pStyle w:val="Compact"/>
                    <w:jc w:val="left"/>
                    <w:jc w:val="center"/>
                  </w:pPr>
                  <w:r>
                    <w:t xml:space="preserve">28.05</w:t>
                  </w:r>
                </w:p>
              </w:tc>
              <w:tc>
                <w:tcPr/>
                <w:p>
                  <w:pPr>
                    <w:pStyle w:val="Compact"/>
                    <w:jc w:val="left"/>
                    <w:jc w:val="center"/>
                  </w:pPr>
                  <w:r>
                    <w:t xml:space="preserve">92.9</w:t>
                  </w:r>
                </w:p>
              </w:tc>
            </w:tr>
            <w:tr>
              <w:tc>
                <w:tcPr/>
                <w:p>
                  <w:pPr>
                    <w:pStyle w:val="Compact"/>
                    <w:jc w:val="left"/>
                    <w:jc w:val="center"/>
                  </w:pPr>
                  <w:r>
                    <w:t xml:space="preserve">veg</w:t>
                  </w:r>
                </w:p>
              </w:tc>
              <w:tc>
                <w:tcPr/>
                <w:p>
                  <w:pPr>
                    <w:pStyle w:val="Compact"/>
                    <w:jc w:val="left"/>
                    <w:jc w:val="center"/>
                  </w:pPr>
                  <w:r>
                    <w:t xml:space="preserve">gs</w:t>
                  </w:r>
                </w:p>
              </w:tc>
              <w:tc>
                <w:tcPr/>
                <w:p>
                  <w:pPr>
                    <w:pStyle w:val="Compact"/>
                    <w:jc w:val="left"/>
                    <w:jc w:val="center"/>
                  </w:pPr>
                  <w:r>
                    <w:t xml:space="preserve">2.7</w:t>
                  </w:r>
                </w:p>
              </w:tc>
              <w:tc>
                <w:tcPr/>
                <w:p>
                  <w:pPr>
                    <w:pStyle w:val="Compact"/>
                    <w:jc w:val="left"/>
                    <w:jc w:val="center"/>
                  </w:pPr>
                  <w:r>
                    <w:t xml:space="preserve">0.87</w:t>
                  </w:r>
                </w:p>
              </w:tc>
              <w:tc>
                <w:tcPr/>
                <w:p>
                  <w:pPr>
                    <w:pStyle w:val="Compact"/>
                    <w:jc w:val="left"/>
                    <w:jc w:val="center"/>
                  </w:pPr>
                  <w:r>
                    <w:t xml:space="preserve">Inf</w:t>
                  </w:r>
                </w:p>
              </w:tc>
              <w:tc>
                <w:tcPr/>
                <w:p>
                  <w:pPr>
                    <w:pStyle w:val="Compact"/>
                    <w:jc w:val="left"/>
                    <w:jc w:val="center"/>
                  </w:pPr>
                  <w:r>
                    <w:t xml:space="preserve">0.96</w:t>
                  </w:r>
                </w:p>
              </w:tc>
              <w:tc>
                <w:tcPr/>
                <w:p>
                  <w:pPr>
                    <w:pStyle w:val="Compact"/>
                    <w:jc w:val="left"/>
                    <w:jc w:val="center"/>
                  </w:pPr>
                  <w:r>
                    <w:t xml:space="preserve">4.4</w:t>
                  </w:r>
                </w:p>
              </w:tc>
            </w:tr>
            <w:tr>
              <w:tc>
                <w:tcPr/>
                <w:p>
                  <w:pPr>
                    <w:pStyle w:val="Compact"/>
                    <w:jc w:val="left"/>
                    <w:jc w:val="center"/>
                  </w:pPr>
                  <w:r>
                    <w:t xml:space="preserve">veg</w:t>
                  </w:r>
                </w:p>
              </w:tc>
              <w:tc>
                <w:tcPr/>
                <w:p>
                  <w:pPr>
                    <w:pStyle w:val="Compact"/>
                    <w:jc w:val="left"/>
                    <w:jc w:val="center"/>
                  </w:pPr>
                  <w:r>
                    <w:t xml:space="preserve">ld</w:t>
                  </w:r>
                </w:p>
              </w:tc>
              <w:tc>
                <w:tcPr/>
                <w:p>
                  <w:pPr>
                    <w:pStyle w:val="Compact"/>
                    <w:jc w:val="left"/>
                    <w:jc w:val="center"/>
                  </w:pPr>
                  <w:r>
                    <w:t xml:space="preserve">1.9</w:t>
                  </w:r>
                </w:p>
              </w:tc>
              <w:tc>
                <w:tcPr/>
                <w:p>
                  <w:pPr>
                    <w:pStyle w:val="Compact"/>
                    <w:jc w:val="left"/>
                    <w:jc w:val="center"/>
                  </w:pPr>
                  <w:r>
                    <w:t xml:space="preserve">0.61</w:t>
                  </w:r>
                </w:p>
              </w:tc>
              <w:tc>
                <w:tcPr/>
                <w:p>
                  <w:pPr>
                    <w:pStyle w:val="Compact"/>
                    <w:jc w:val="left"/>
                    <w:jc w:val="center"/>
                  </w:pPr>
                  <w:r>
                    <w:t xml:space="preserve">Inf</w:t>
                  </w:r>
                </w:p>
              </w:tc>
              <w:tc>
                <w:tcPr/>
                <w:p>
                  <w:pPr>
                    <w:pStyle w:val="Compact"/>
                    <w:jc w:val="left"/>
                    <w:jc w:val="center"/>
                  </w:pPr>
                  <w:r>
                    <w:t xml:space="preserve">0.7</w:t>
                  </w:r>
                </w:p>
              </w:tc>
              <w:tc>
                <w:tcPr/>
                <w:p>
                  <w:pPr>
                    <w:pStyle w:val="Compact"/>
                    <w:jc w:val="left"/>
                    <w:jc w:val="center"/>
                  </w:pPr>
                  <w:r>
                    <w:t xml:space="preserve">3.1</w:t>
                  </w:r>
                </w:p>
              </w:tc>
            </w:tr>
            <w:tr>
              <w:tc>
                <w:tcPr/>
                <w:p>
                  <w:pPr>
                    <w:pStyle w:val="Compact"/>
                    <w:jc w:val="left"/>
                    <w:jc w:val="center"/>
                  </w:pPr>
                  <w:r>
                    <w:t xml:space="preserve">veg</w:t>
                  </w:r>
                </w:p>
              </w:tc>
              <w:tc>
                <w:tcPr/>
                <w:p>
                  <w:pPr>
                    <w:pStyle w:val="Compact"/>
                    <w:jc w:val="left"/>
                    <w:jc w:val="center"/>
                  </w:pPr>
                  <w:r>
                    <w:t xml:space="preserve">ha</w:t>
                  </w:r>
                </w:p>
              </w:tc>
              <w:tc>
                <w:tcPr/>
                <w:p>
                  <w:pPr>
                    <w:pStyle w:val="Compact"/>
                    <w:jc w:val="left"/>
                    <w:jc w:val="center"/>
                  </w:pPr>
                  <w:r>
                    <w:t xml:space="preserve">3.2</w:t>
                  </w:r>
                </w:p>
              </w:tc>
              <w:tc>
                <w:tcPr/>
                <w:p>
                  <w:pPr>
                    <w:pStyle w:val="Compact"/>
                    <w:jc w:val="left"/>
                    <w:jc w:val="center"/>
                  </w:pPr>
                  <w:r>
                    <w:t xml:space="preserve">1.12</w:t>
                  </w:r>
                </w:p>
              </w:tc>
              <w:tc>
                <w:tcPr/>
                <w:p>
                  <w:pPr>
                    <w:pStyle w:val="Compact"/>
                    <w:jc w:val="left"/>
                    <w:jc w:val="center"/>
                  </w:pPr>
                  <w:r>
                    <w:t xml:space="preserve">Inf</w:t>
                  </w:r>
                </w:p>
              </w:tc>
              <w:tc>
                <w:tcPr/>
                <w:p>
                  <w:pPr>
                    <w:pStyle w:val="Compact"/>
                    <w:jc w:val="left"/>
                    <w:jc w:val="center"/>
                  </w:pPr>
                  <w:r>
                    <w:t xml:space="preserve">1.06</w:t>
                  </w:r>
                </w:p>
              </w:tc>
              <w:tc>
                <w:tcPr/>
                <w:p>
                  <w:pPr>
                    <w:pStyle w:val="Compact"/>
                    <w:jc w:val="left"/>
                    <w:jc w:val="center"/>
                  </w:pPr>
                  <w:r>
                    <w:t xml:space="preserve">5.4</w:t>
                  </w:r>
                </w:p>
              </w:tc>
            </w:tr>
            <w:tr>
              <w:tc>
                <w:tcPr/>
                <w:p>
                  <w:pPr>
                    <w:pStyle w:val="Compact"/>
                    <w:jc w:val="left"/>
                    <w:jc w:val="center"/>
                  </w:pPr>
                  <w:r>
                    <w:t xml:space="preserve">veg</w:t>
                  </w:r>
                </w:p>
              </w:tc>
              <w:tc>
                <w:tcPr/>
                <w:p>
                  <w:pPr>
                    <w:pStyle w:val="Compact"/>
                    <w:jc w:val="left"/>
                    <w:jc w:val="center"/>
                  </w:pPr>
                  <w:r>
                    <w:t xml:space="preserve">hd</w:t>
                  </w:r>
                </w:p>
              </w:tc>
              <w:tc>
                <w:tcPr/>
                <w:p>
                  <w:pPr>
                    <w:pStyle w:val="Compact"/>
                    <w:jc w:val="left"/>
                    <w:jc w:val="center"/>
                  </w:pPr>
                  <w:r>
                    <w:t xml:space="preserve">2.2</w:t>
                  </w:r>
                </w:p>
              </w:tc>
              <w:tc>
                <w:tcPr/>
                <w:p>
                  <w:pPr>
                    <w:pStyle w:val="Compact"/>
                    <w:jc w:val="left"/>
                    <w:jc w:val="center"/>
                  </w:pPr>
                  <w:r>
                    <w:t xml:space="preserve">0.71</w:t>
                  </w:r>
                </w:p>
              </w:tc>
              <w:tc>
                <w:tcPr/>
                <w:p>
                  <w:pPr>
                    <w:pStyle w:val="Compact"/>
                    <w:jc w:val="left"/>
                    <w:jc w:val="center"/>
                  </w:pPr>
                  <w:r>
                    <w:t xml:space="preserve">Inf</w:t>
                  </w:r>
                </w:p>
              </w:tc>
              <w:tc>
                <w:tcPr/>
                <w:p>
                  <w:pPr>
                    <w:pStyle w:val="Compact"/>
                    <w:jc w:val="left"/>
                    <w:jc w:val="center"/>
                  </w:pPr>
                  <w:r>
                    <w:t xml:space="preserve">0.78</w:t>
                  </w:r>
                </w:p>
              </w:tc>
              <w:tc>
                <w:tcPr/>
                <w:p>
                  <w:pPr>
                    <w:pStyle w:val="Compact"/>
                    <w:jc w:val="left"/>
                    <w:jc w:val="center"/>
                  </w:pPr>
                  <w:r>
                    <w:t xml:space="preserve">3.6</w:t>
                  </w:r>
                </w:p>
              </w:tc>
            </w:tr>
            <w:tr>
              <w:tc>
                <w:tcPr/>
                <w:p>
                  <w:pPr>
                    <w:pStyle w:val="Compact"/>
                    <w:jc w:val="left"/>
                    <w:jc w:val="center"/>
                  </w:pPr>
                  <w:r>
                    <w:t xml:space="preserve">veg_diff</w:t>
                  </w:r>
                </w:p>
              </w:tc>
              <w:tc>
                <w:tcPr/>
                <w:p>
                  <w:pPr>
                    <w:pStyle w:val="Compact"/>
                    <w:jc w:val="left"/>
                    <w:jc w:val="center"/>
                  </w:pPr>
                  <w:r>
                    <w:t xml:space="preserve">gs</w:t>
                  </w:r>
                </w:p>
              </w:tc>
              <w:tc>
                <w:tcPr/>
                <w:p>
                  <w:pPr>
                    <w:pStyle w:val="Compact"/>
                    <w:jc w:val="left"/>
                    <w:jc w:val="center"/>
                  </w:pPr>
                  <w:r>
                    <w:t xml:space="preserve">29.6</w:t>
                  </w:r>
                </w:p>
              </w:tc>
              <w:tc>
                <w:tcPr/>
                <w:p>
                  <w:pPr>
                    <w:pStyle w:val="Compact"/>
                    <w:jc w:val="left"/>
                    <w:jc w:val="center"/>
                  </w:pPr>
                  <w:r>
                    <w:t xml:space="preserve">7.99</w:t>
                  </w:r>
                </w:p>
              </w:tc>
              <w:tc>
                <w:tcPr/>
                <w:p>
                  <w:pPr>
                    <w:pStyle w:val="Compact"/>
                    <w:jc w:val="left"/>
                    <w:jc w:val="center"/>
                  </w:pPr>
                  <w:r>
                    <w:t xml:space="preserve">Inf</w:t>
                  </w:r>
                </w:p>
              </w:tc>
              <w:tc>
                <w:tcPr/>
                <w:p>
                  <w:pPr>
                    <w:pStyle w:val="Compact"/>
                    <w:jc w:val="left"/>
                    <w:jc w:val="center"/>
                  </w:pPr>
                  <w:r>
                    <w:t xml:space="preserve">13.95</w:t>
                  </w:r>
                </w:p>
              </w:tc>
              <w:tc>
                <w:tcPr/>
                <w:p>
                  <w:pPr>
                    <w:pStyle w:val="Compact"/>
                    <w:jc w:val="left"/>
                    <w:jc w:val="center"/>
                  </w:pPr>
                  <w:r>
                    <w:t xml:space="preserve">45.3</w:t>
                  </w:r>
                </w:p>
              </w:tc>
            </w:tr>
            <w:tr>
              <w:tc>
                <w:tcPr/>
                <w:p>
                  <w:pPr>
                    <w:pStyle w:val="Compact"/>
                    <w:jc w:val="left"/>
                    <w:jc w:val="center"/>
                  </w:pPr>
                  <w:r>
                    <w:t xml:space="preserve">veg_diff</w:t>
                  </w:r>
                </w:p>
              </w:tc>
              <w:tc>
                <w:tcPr/>
                <w:p>
                  <w:pPr>
                    <w:pStyle w:val="Compact"/>
                    <w:jc w:val="left"/>
                    <w:jc w:val="center"/>
                  </w:pPr>
                  <w:r>
                    <w:t xml:space="preserve">ld</w:t>
                  </w:r>
                </w:p>
              </w:tc>
              <w:tc>
                <w:tcPr/>
                <w:p>
                  <w:pPr>
                    <w:pStyle w:val="Compact"/>
                    <w:jc w:val="left"/>
                    <w:jc w:val="center"/>
                  </w:pPr>
                  <w:r>
                    <w:t xml:space="preserve">17.2</w:t>
                  </w:r>
                </w:p>
              </w:tc>
              <w:tc>
                <w:tcPr/>
                <w:p>
                  <w:pPr>
                    <w:pStyle w:val="Compact"/>
                    <w:jc w:val="left"/>
                    <w:jc w:val="center"/>
                  </w:pPr>
                  <w:r>
                    <w:t xml:space="preserve">4.22</w:t>
                  </w:r>
                </w:p>
              </w:tc>
              <w:tc>
                <w:tcPr/>
                <w:p>
                  <w:pPr>
                    <w:pStyle w:val="Compact"/>
                    <w:jc w:val="left"/>
                    <w:jc w:val="center"/>
                  </w:pPr>
                  <w:r>
                    <w:t xml:space="preserve">Inf</w:t>
                  </w:r>
                </w:p>
              </w:tc>
              <w:tc>
                <w:tcPr/>
                <w:p>
                  <w:pPr>
                    <w:pStyle w:val="Compact"/>
                    <w:jc w:val="left"/>
                    <w:jc w:val="center"/>
                  </w:pPr>
                  <w:r>
                    <w:t xml:space="preserve">8.89</w:t>
                  </w:r>
                </w:p>
              </w:tc>
              <w:tc>
                <w:tcPr/>
                <w:p>
                  <w:pPr>
                    <w:pStyle w:val="Compact"/>
                    <w:jc w:val="left"/>
                    <w:jc w:val="center"/>
                  </w:pPr>
                  <w:r>
                    <w:t xml:space="preserve">25.4</w:t>
                  </w:r>
                </w:p>
              </w:tc>
            </w:tr>
            <w:tr>
              <w:tc>
                <w:tcPr/>
                <w:p>
                  <w:pPr>
                    <w:pStyle w:val="Compact"/>
                    <w:jc w:val="left"/>
                    <w:jc w:val="center"/>
                  </w:pPr>
                  <w:r>
                    <w:t xml:space="preserve">veg_diff</w:t>
                  </w:r>
                </w:p>
              </w:tc>
              <w:tc>
                <w:tcPr/>
                <w:p>
                  <w:pPr>
                    <w:pStyle w:val="Compact"/>
                    <w:jc w:val="left"/>
                    <w:jc w:val="center"/>
                  </w:pPr>
                  <w:r>
                    <w:t xml:space="preserve">ha</w:t>
                  </w:r>
                </w:p>
              </w:tc>
              <w:tc>
                <w:tcPr/>
                <w:p>
                  <w:pPr>
                    <w:pStyle w:val="Compact"/>
                    <w:jc w:val="left"/>
                    <w:jc w:val="center"/>
                  </w:pPr>
                  <w:r>
                    <w:t xml:space="preserve">10.6</w:t>
                  </w:r>
                </w:p>
              </w:tc>
              <w:tc>
                <w:tcPr/>
                <w:p>
                  <w:pPr>
                    <w:pStyle w:val="Compact"/>
                    <w:jc w:val="left"/>
                    <w:jc w:val="center"/>
                  </w:pPr>
                  <w:r>
                    <w:t xml:space="preserve">2.98</w:t>
                  </w:r>
                </w:p>
              </w:tc>
              <w:tc>
                <w:tcPr/>
                <w:p>
                  <w:pPr>
                    <w:pStyle w:val="Compact"/>
                    <w:jc w:val="left"/>
                    <w:jc w:val="center"/>
                  </w:pPr>
                  <w:r>
                    <w:t xml:space="preserve">Inf</w:t>
                  </w:r>
                </w:p>
              </w:tc>
              <w:tc>
                <w:tcPr/>
                <w:p>
                  <w:pPr>
                    <w:pStyle w:val="Compact"/>
                    <w:jc w:val="left"/>
                    <w:jc w:val="center"/>
                  </w:pPr>
                  <w:r>
                    <w:t xml:space="preserve">4.74</w:t>
                  </w:r>
                </w:p>
              </w:tc>
              <w:tc>
                <w:tcPr/>
                <w:p>
                  <w:pPr>
                    <w:pStyle w:val="Compact"/>
                    <w:jc w:val="left"/>
                    <w:jc w:val="center"/>
                  </w:pPr>
                  <w:r>
                    <w:t xml:space="preserve">16.4</w:t>
                  </w:r>
                </w:p>
              </w:tc>
            </w:tr>
            <w:tr>
              <w:tc>
                <w:tcPr/>
                <w:p>
                  <w:pPr>
                    <w:pStyle w:val="Compact"/>
                    <w:jc w:val="left"/>
                    <w:jc w:val="center"/>
                  </w:pPr>
                  <w:r>
                    <w:t xml:space="preserve">veg_diff</w:t>
                  </w:r>
                </w:p>
              </w:tc>
              <w:tc>
                <w:tcPr/>
                <w:p>
                  <w:pPr>
                    <w:pStyle w:val="Compact"/>
                    <w:jc w:val="left"/>
                    <w:jc w:val="center"/>
                  </w:pPr>
                  <w:r>
                    <w:t xml:space="preserve">hd</w:t>
                  </w:r>
                </w:p>
              </w:tc>
              <w:tc>
                <w:tcPr/>
                <w:p>
                  <w:pPr>
                    <w:pStyle w:val="Compact"/>
                    <w:jc w:val="left"/>
                    <w:jc w:val="center"/>
                  </w:pPr>
                  <w:r>
                    <w:t xml:space="preserve">11.8</w:t>
                  </w:r>
                </w:p>
              </w:tc>
              <w:tc>
                <w:tcPr/>
                <w:p>
                  <w:pPr>
                    <w:pStyle w:val="Compact"/>
                    <w:jc w:val="left"/>
                    <w:jc w:val="center"/>
                  </w:pPr>
                  <w:r>
                    <w:t xml:space="preserve">3.02</w:t>
                  </w:r>
                </w:p>
              </w:tc>
              <w:tc>
                <w:tcPr/>
                <w:p>
                  <w:pPr>
                    <w:pStyle w:val="Compact"/>
                    <w:jc w:val="left"/>
                    <w:jc w:val="center"/>
                  </w:pPr>
                  <w:r>
                    <w:t xml:space="preserve">Inf</w:t>
                  </w:r>
                </w:p>
              </w:tc>
              <w:tc>
                <w:tcPr/>
                <w:p>
                  <w:pPr>
                    <w:pStyle w:val="Compact"/>
                    <w:jc w:val="left"/>
                    <w:jc w:val="center"/>
                  </w:pPr>
                  <w:r>
                    <w:t xml:space="preserve">5.91</w:t>
                  </w:r>
                </w:p>
              </w:tc>
              <w:tc>
                <w:tcPr/>
                <w:p>
                  <w:pPr>
                    <w:pStyle w:val="Compact"/>
                    <w:jc w:val="left"/>
                    <w:jc w:val="center"/>
                  </w:pPr>
                  <w:r>
                    <w:t xml:space="preserve">17.7</w:t>
                  </w:r>
                </w:p>
              </w:tc>
            </w:tr>
          </w:tbl>
          <w:bookmarkEnd w:id="109"/>
          <w:p/>
        </w:tc>
      </w:tr>
    </w:tbl>
    <w:p>
      <w:pPr>
        <w:pStyle w:val="BodyText"/>
      </w:pPr>
      <w:r>
        <w:t xml:space="preserve"> </w:t>
      </w:r>
    </w:p>
    <w:tbl>
      <w:tblPr>
        <w:tblStyle w:val="Table"/>
        <w:tblW w:type="pct" w:w="5000"/>
        <w:tblLook w:firstRow="0" w:lastRow="0" w:firstColumn="0" w:lastColumn="0" w:noHBand="0" w:noVBand="0" w:val="0000"/>
        <w:jc w:val="start"/>
        <w:tblLayout w:type="fixed"/>
      </w:tblPr>
      <w:tblGrid>
        <w:gridCol w:w="7920"/>
      </w:tblGrid>
      <w:tr>
        <w:tc>
          <w:tcPr/>
          <w:bookmarkStart w:id="110" w:name="tbl-fuel-post-pct-grand-means"/>
          <w:p>
            <w:pPr>
              <w:jc w:val="center"/>
            </w:pPr>
            <w:pPr>
              <w:jc w:val="start"/>
              <w:spacing w:before="200"/>
              <w:pStyle w:val="ImageCaption"/>
            </w:pPr>
            <w:r>
              <w:t xml:space="preserve">Table 3.14: Grand means (Mg ha</w:t>
            </w:r>
            <w:r>
              <w:rPr>
                <w:vertAlign w:val="superscript"/>
              </w:rPr>
              <w:t xml:space="preserve">-1</w:t>
            </w:r>
            <w:r>
              <w:t xml:space="preserve">) for six fuel classes after pct.</w:t>
            </w:r>
          </w:p>
          <w:tbl>
            <w:tblPr>
              <w:tblStyle w:val="Table"/>
              <w:tblW w:type="pct" w:w="4662"/>
              <w:tblLook w:firstRow="1" w:lastRow="0" w:firstColumn="0" w:lastColumn="0" w:noHBand="0" w:noVBand="0" w:val="0020"/>
              <w:jc w:val="start"/>
              <w:tblLayout w:type="fixed"/>
            </w:tblPr>
            <w:tblGrid>
              <w:gridCol w:w="1177"/>
              <w:gridCol w:w="1070"/>
              <w:gridCol w:w="1177"/>
              <w:gridCol w:w="749"/>
              <w:gridCol w:w="642"/>
              <w:gridCol w:w="1284"/>
              <w:gridCol w:w="1284"/>
            </w:tblGrid>
            <w:tr>
              <w:trPr>
                <w:tblHeader w:val="true"/>
              </w:trPr>
              <w:tc>
                <w:tcPr/>
                <w:p>
                  <w:pPr>
                    <w:pStyle w:val="Compact"/>
                    <w:jc w:val="left"/>
                    <w:jc w:val="center"/>
                  </w:pPr>
                  <w:r>
                    <w:t xml:space="preserve">class</w:t>
                  </w:r>
                </w:p>
              </w:tc>
              <w:tc>
                <w:tcPr/>
                <w:p>
                  <w:pPr>
                    <w:pStyle w:val="Compact"/>
                    <w:jc w:val="left"/>
                    <w:jc w:val="center"/>
                  </w:pPr>
                  <w:r>
                    <w:t xml:space="preserve">1</w:t>
                  </w:r>
                </w:p>
              </w:tc>
              <w:tc>
                <w:tcPr/>
                <w:p>
                  <w:pPr>
                    <w:pStyle w:val="Compact"/>
                    <w:jc w:val="left"/>
                    <w:jc w:val="center"/>
                  </w:pPr>
                  <w:r>
                    <w:t xml:space="preserve">estimate</w:t>
                  </w:r>
                </w:p>
              </w:tc>
              <w:tc>
                <w:tcPr/>
                <w:p>
                  <w:pPr>
                    <w:pStyle w:val="Compact"/>
                    <w:jc w:val="left"/>
                    <w:jc w:val="center"/>
                  </w:pPr>
                  <w:r>
                    <w:t xml:space="preserve">SE</w:t>
                  </w:r>
                </w:p>
              </w:tc>
              <w:tc>
                <w:tcPr/>
                <w:p>
                  <w:pPr>
                    <w:pStyle w:val="Compact"/>
                    <w:jc w:val="left"/>
                    <w:jc w:val="center"/>
                  </w:pPr>
                  <w:r>
                    <w:t xml:space="preserve">df</w:t>
                  </w:r>
                </w:p>
              </w:tc>
              <w:tc>
                <w:tcPr/>
                <w:p>
                  <w:pPr>
                    <w:pStyle w:val="Compact"/>
                    <w:jc w:val="left"/>
                    <w:jc w:val="center"/>
                  </w:pPr>
                  <w:r>
                    <w:t xml:space="preserve">asymp.LCL</w:t>
                  </w:r>
                </w:p>
              </w:tc>
              <w:tc>
                <w:tcPr/>
                <w:p>
                  <w:pPr>
                    <w:pStyle w:val="Compact"/>
                    <w:jc w:val="left"/>
                    <w:jc w:val="center"/>
                  </w:pPr>
                  <w:r>
                    <w:t xml:space="preserve">asymp.UCL</w:t>
                  </w:r>
                </w:p>
              </w:tc>
            </w:tr>
            <w:tr>
              <w:tc>
                <w:tcPr/>
                <w:p>
                  <w:pPr>
                    <w:pStyle w:val="Compact"/>
                    <w:jc w:val="left"/>
                    <w:jc w:val="center"/>
                  </w:pPr>
                  <w:r>
                    <w:t xml:space="preserve">onehr</w:t>
                  </w:r>
                </w:p>
              </w:tc>
              <w:tc>
                <w:tcPr/>
                <w:p>
                  <w:pPr>
                    <w:pStyle w:val="Compact"/>
                    <w:jc w:val="left"/>
                    <w:jc w:val="center"/>
                  </w:pPr>
                  <w:r>
                    <w:t xml:space="preserve">overall</w:t>
                  </w:r>
                </w:p>
              </w:tc>
              <w:tc>
                <w:tcPr/>
                <w:p>
                  <w:pPr>
                    <w:pStyle w:val="Compact"/>
                    <w:jc w:val="left"/>
                    <w:jc w:val="center"/>
                  </w:pPr>
                  <w:r>
                    <w:t xml:space="preserve">2.3</w:t>
                  </w:r>
                </w:p>
              </w:tc>
              <w:tc>
                <w:tcPr/>
                <w:p>
                  <w:pPr>
                    <w:pStyle w:val="Compact"/>
                    <w:jc w:val="left"/>
                    <w:jc w:val="center"/>
                  </w:pPr>
                  <w:r>
                    <w:t xml:space="preserve">0.36</w:t>
                  </w:r>
                </w:p>
              </w:tc>
              <w:tc>
                <w:tcPr/>
                <w:p>
                  <w:pPr>
                    <w:pStyle w:val="Compact"/>
                    <w:jc w:val="left"/>
                    <w:jc w:val="center"/>
                  </w:pPr>
                  <w:r>
                    <w:t xml:space="preserve">Inf</w:t>
                  </w:r>
                </w:p>
              </w:tc>
              <w:tc>
                <w:tcPr/>
                <w:p>
                  <w:pPr>
                    <w:pStyle w:val="Compact"/>
                    <w:jc w:val="left"/>
                    <w:jc w:val="center"/>
                  </w:pPr>
                  <w:r>
                    <w:t xml:space="preserve">1.5</w:t>
                  </w:r>
                </w:p>
              </w:tc>
              <w:tc>
                <w:tcPr/>
                <w:p>
                  <w:pPr>
                    <w:pStyle w:val="Compact"/>
                    <w:jc w:val="left"/>
                    <w:jc w:val="center"/>
                  </w:pPr>
                  <w:r>
                    <w:t xml:space="preserve">3</w:t>
                  </w:r>
                </w:p>
              </w:tc>
            </w:tr>
            <w:tr>
              <w:tc>
                <w:tcPr/>
                <w:p>
                  <w:pPr>
                    <w:pStyle w:val="Compact"/>
                    <w:jc w:val="left"/>
                    <w:jc w:val="center"/>
                  </w:pPr>
                  <w:r>
                    <w:t xml:space="preserve">tenhr</w:t>
                  </w:r>
                </w:p>
              </w:tc>
              <w:tc>
                <w:tcPr/>
                <w:p>
                  <w:pPr>
                    <w:pStyle w:val="Compact"/>
                    <w:jc w:val="left"/>
                    <w:jc w:val="center"/>
                  </w:pPr>
                  <w:r>
                    <w:t xml:space="preserve">overall</w:t>
                  </w:r>
                </w:p>
              </w:tc>
              <w:tc>
                <w:tcPr/>
                <w:p>
                  <w:pPr>
                    <w:pStyle w:val="Compact"/>
                    <w:jc w:val="left"/>
                    <w:jc w:val="center"/>
                  </w:pPr>
                  <w:r>
                    <w:t xml:space="preserve">5.4</w:t>
                  </w:r>
                </w:p>
              </w:tc>
              <w:tc>
                <w:tcPr/>
                <w:p>
                  <w:pPr>
                    <w:pStyle w:val="Compact"/>
                    <w:jc w:val="left"/>
                    <w:jc w:val="center"/>
                  </w:pPr>
                  <w:r>
                    <w:t xml:space="preserve">0.84</w:t>
                  </w:r>
                </w:p>
              </w:tc>
              <w:tc>
                <w:tcPr/>
                <w:p>
                  <w:pPr>
                    <w:pStyle w:val="Compact"/>
                    <w:jc w:val="left"/>
                    <w:jc w:val="center"/>
                  </w:pPr>
                  <w:r>
                    <w:t xml:space="preserve">Inf</w:t>
                  </w:r>
                </w:p>
              </w:tc>
              <w:tc>
                <w:tcPr/>
                <w:p>
                  <w:pPr>
                    <w:pStyle w:val="Compact"/>
                    <w:jc w:val="left"/>
                    <w:jc w:val="center"/>
                  </w:pPr>
                  <w:r>
                    <w:t xml:space="preserve">3.7</w:t>
                  </w:r>
                </w:p>
              </w:tc>
              <w:tc>
                <w:tcPr/>
                <w:p>
                  <w:pPr>
                    <w:pStyle w:val="Compact"/>
                    <w:jc w:val="left"/>
                    <w:jc w:val="center"/>
                  </w:pPr>
                  <w:r>
                    <w:t xml:space="preserve">7</w:t>
                  </w:r>
                </w:p>
              </w:tc>
            </w:tr>
            <w:tr>
              <w:tc>
                <w:tcPr/>
                <w:p>
                  <w:pPr>
                    <w:pStyle w:val="Compact"/>
                    <w:jc w:val="left"/>
                    <w:jc w:val="center"/>
                  </w:pPr>
                  <w:r>
                    <w:t xml:space="preserve">hundhr</w:t>
                  </w:r>
                </w:p>
              </w:tc>
              <w:tc>
                <w:tcPr/>
                <w:p>
                  <w:pPr>
                    <w:pStyle w:val="Compact"/>
                    <w:jc w:val="left"/>
                    <w:jc w:val="center"/>
                  </w:pPr>
                  <w:r>
                    <w:t xml:space="preserve">overall</w:t>
                  </w:r>
                </w:p>
              </w:tc>
              <w:tc>
                <w:tcPr/>
                <w:p>
                  <w:pPr>
                    <w:pStyle w:val="Compact"/>
                    <w:jc w:val="left"/>
                    <w:jc w:val="center"/>
                  </w:pPr>
                  <w:r>
                    <w:t xml:space="preserve">12.6</w:t>
                  </w:r>
                </w:p>
              </w:tc>
              <w:tc>
                <w:tcPr/>
                <w:p>
                  <w:pPr>
                    <w:pStyle w:val="Compact"/>
                    <w:jc w:val="left"/>
                    <w:jc w:val="center"/>
                  </w:pPr>
                  <w:r>
                    <w:t xml:space="preserve">2.2</w:t>
                  </w:r>
                </w:p>
              </w:tc>
              <w:tc>
                <w:tcPr/>
                <w:p>
                  <w:pPr>
                    <w:pStyle w:val="Compact"/>
                    <w:jc w:val="left"/>
                    <w:jc w:val="center"/>
                  </w:pPr>
                  <w:r>
                    <w:t xml:space="preserve">Inf</w:t>
                  </w:r>
                </w:p>
              </w:tc>
              <w:tc>
                <w:tcPr/>
                <w:p>
                  <w:pPr>
                    <w:pStyle w:val="Compact"/>
                    <w:jc w:val="left"/>
                    <w:jc w:val="center"/>
                  </w:pPr>
                  <w:r>
                    <w:t xml:space="preserve">8.3</w:t>
                  </w:r>
                </w:p>
              </w:tc>
              <w:tc>
                <w:tcPr/>
                <w:p>
                  <w:pPr>
                    <w:pStyle w:val="Compact"/>
                    <w:jc w:val="left"/>
                    <w:jc w:val="center"/>
                  </w:pPr>
                  <w:r>
                    <w:t xml:space="preserve">16.9</w:t>
                  </w:r>
                </w:p>
              </w:tc>
            </w:tr>
            <w:tr>
              <w:tc>
                <w:tcPr/>
                <w:p>
                  <w:pPr>
                    <w:pStyle w:val="Compact"/>
                    <w:jc w:val="left"/>
                    <w:jc w:val="center"/>
                  </w:pPr>
                  <w:r>
                    <w:t xml:space="preserve">thoushr</w:t>
                  </w:r>
                </w:p>
              </w:tc>
              <w:tc>
                <w:tcPr/>
                <w:p>
                  <w:pPr>
                    <w:pStyle w:val="Compact"/>
                    <w:jc w:val="left"/>
                    <w:jc w:val="center"/>
                  </w:pPr>
                  <w:r>
                    <w:t xml:space="preserve">overall</w:t>
                  </w:r>
                </w:p>
              </w:tc>
              <w:tc>
                <w:tcPr/>
                <w:p>
                  <w:pPr>
                    <w:pStyle w:val="Compact"/>
                    <w:jc w:val="left"/>
                    <w:jc w:val="center"/>
                  </w:pPr>
                  <w:r>
                    <w:t xml:space="preserve">37.6</w:t>
                  </w:r>
                </w:p>
              </w:tc>
              <w:tc>
                <w:tcPr/>
                <w:p>
                  <w:pPr>
                    <w:pStyle w:val="Compact"/>
                    <w:jc w:val="left"/>
                    <w:jc w:val="center"/>
                  </w:pPr>
                  <w:r>
                    <w:t xml:space="preserve">5.61</w:t>
                  </w:r>
                </w:p>
              </w:tc>
              <w:tc>
                <w:tcPr/>
                <w:p>
                  <w:pPr>
                    <w:pStyle w:val="Compact"/>
                    <w:jc w:val="left"/>
                    <w:jc w:val="center"/>
                  </w:pPr>
                  <w:r>
                    <w:t xml:space="preserve">Inf</w:t>
                  </w:r>
                </w:p>
              </w:tc>
              <w:tc>
                <w:tcPr/>
                <w:p>
                  <w:pPr>
                    <w:pStyle w:val="Compact"/>
                    <w:jc w:val="left"/>
                    <w:jc w:val="center"/>
                  </w:pPr>
                  <w:r>
                    <w:t xml:space="preserve">26.6</w:t>
                  </w:r>
                </w:p>
              </w:tc>
              <w:tc>
                <w:tcPr/>
                <w:p>
                  <w:pPr>
                    <w:pStyle w:val="Compact"/>
                    <w:jc w:val="left"/>
                    <w:jc w:val="center"/>
                  </w:pPr>
                  <w:r>
                    <w:t xml:space="preserve">48.6</w:t>
                  </w:r>
                </w:p>
              </w:tc>
            </w:tr>
            <w:tr>
              <w:tc>
                <w:tcPr/>
                <w:p>
                  <w:pPr>
                    <w:pStyle w:val="Compact"/>
                    <w:jc w:val="left"/>
                    <w:jc w:val="center"/>
                  </w:pPr>
                  <w:r>
                    <w:t xml:space="preserve">veg</w:t>
                  </w:r>
                </w:p>
              </w:tc>
              <w:tc>
                <w:tcPr/>
                <w:p>
                  <w:pPr>
                    <w:pStyle w:val="Compact"/>
                    <w:jc w:val="left"/>
                    <w:jc w:val="center"/>
                  </w:pPr>
                  <w:r>
                    <w:t xml:space="preserve">overall</w:t>
                  </w:r>
                </w:p>
              </w:tc>
              <w:tc>
                <w:tcPr/>
                <w:p>
                  <w:pPr>
                    <w:pStyle w:val="Compact"/>
                    <w:jc w:val="left"/>
                    <w:jc w:val="center"/>
                  </w:pPr>
                  <w:r>
                    <w:t xml:space="preserve">2.5</w:t>
                  </w:r>
                </w:p>
              </w:tc>
              <w:tc>
                <w:tcPr/>
                <w:p>
                  <w:pPr>
                    <w:pStyle w:val="Compact"/>
                    <w:jc w:val="left"/>
                    <w:jc w:val="center"/>
                  </w:pPr>
                  <w:r>
                    <w:t xml:space="preserve">0.65</w:t>
                  </w:r>
                </w:p>
              </w:tc>
              <w:tc>
                <w:tcPr/>
                <w:p>
                  <w:pPr>
                    <w:pStyle w:val="Compact"/>
                    <w:jc w:val="left"/>
                    <w:jc w:val="center"/>
                  </w:pPr>
                  <w:r>
                    <w:t xml:space="preserve">Inf</w:t>
                  </w:r>
                </w:p>
              </w:tc>
              <w:tc>
                <w:tcPr/>
                <w:p>
                  <w:pPr>
                    <w:pStyle w:val="Compact"/>
                    <w:jc w:val="left"/>
                    <w:jc w:val="center"/>
                  </w:pPr>
                  <w:r>
                    <w:t xml:space="preserve">1.2</w:t>
                  </w:r>
                </w:p>
              </w:tc>
              <w:tc>
                <w:tcPr/>
                <w:p>
                  <w:pPr>
                    <w:pStyle w:val="Compact"/>
                    <w:jc w:val="left"/>
                    <w:jc w:val="center"/>
                  </w:pPr>
                  <w:r>
                    <w:t xml:space="preserve">3.8</w:t>
                  </w:r>
                </w:p>
              </w:tc>
            </w:tr>
            <w:tr>
              <w:tc>
                <w:tcPr/>
                <w:p>
                  <w:pPr>
                    <w:pStyle w:val="Compact"/>
                    <w:jc w:val="left"/>
                    <w:jc w:val="center"/>
                  </w:pPr>
                  <w:r>
                    <w:t xml:space="preserve">veg_diff</w:t>
                  </w:r>
                </w:p>
              </w:tc>
              <w:tc>
                <w:tcPr/>
                <w:p>
                  <w:pPr>
                    <w:pStyle w:val="Compact"/>
                    <w:jc w:val="left"/>
                    <w:jc w:val="center"/>
                  </w:pPr>
                  <w:r>
                    <w:t xml:space="preserve">overall</w:t>
                  </w:r>
                </w:p>
              </w:tc>
              <w:tc>
                <w:tcPr/>
                <w:p>
                  <w:pPr>
                    <w:pStyle w:val="Compact"/>
                    <w:jc w:val="left"/>
                    <w:jc w:val="center"/>
                  </w:pPr>
                  <w:r>
                    <w:t xml:space="preserve">17.3</w:t>
                  </w:r>
                </w:p>
              </w:tc>
              <w:tc>
                <w:tcPr/>
                <w:p>
                  <w:pPr>
                    <w:pStyle w:val="Compact"/>
                    <w:jc w:val="left"/>
                    <w:jc w:val="center"/>
                  </w:pPr>
                  <w:r>
                    <w:t xml:space="preserve">3.33</w:t>
                  </w:r>
                </w:p>
              </w:tc>
              <w:tc>
                <w:tcPr/>
                <w:p>
                  <w:pPr>
                    <w:pStyle w:val="Compact"/>
                    <w:jc w:val="left"/>
                    <w:jc w:val="center"/>
                  </w:pPr>
                  <w:r>
                    <w:t xml:space="preserve">Inf</w:t>
                  </w:r>
                </w:p>
              </w:tc>
              <w:tc>
                <w:tcPr/>
                <w:p>
                  <w:pPr>
                    <w:pStyle w:val="Compact"/>
                    <w:jc w:val="left"/>
                    <w:jc w:val="center"/>
                  </w:pPr>
                  <w:r>
                    <w:t xml:space="preserve">10.8</w:t>
                  </w:r>
                </w:p>
              </w:tc>
              <w:tc>
                <w:tcPr/>
                <w:p>
                  <w:pPr>
                    <w:pStyle w:val="Compact"/>
                    <w:jc w:val="left"/>
                    <w:jc w:val="center"/>
                  </w:pPr>
                  <w:r>
                    <w:t xml:space="preserve">23.8</w:t>
                  </w:r>
                </w:p>
              </w:tc>
            </w:tr>
          </w:tbl>
          <w:bookmarkEnd w:id="110"/>
          <w:p/>
        </w:tc>
      </w:tr>
    </w:tbl>
    <w:bookmarkEnd w:id="111"/>
    <w:bookmarkStart w:id="116" w:name="pre-post-commercial-thinning-comparison"/>
    <w:p>
      <w:pPr>
        <w:pStyle w:val="Heading3"/>
      </w:pPr>
      <w:r>
        <w:t xml:space="preserve">3.3.3 Pre-post commercial thinning comparison</w:t>
      </w:r>
    </w:p>
    <w:p>
      <w:pPr>
        <w:pStyle w:val="FirstParagraph"/>
      </w:pPr>
      <w:r>
        <w:t xml:space="preserve">Pre-commercial thinning led to a small increase in average 100-hr fuel loading,</w:t>
      </w:r>
      <w:r>
        <w:t xml:space="preserve"> </w:t>
      </w:r>
      <w:r>
        <w:t xml:space="preserve">only for the GS treatment, increased 10-hr fuels in the GS and LD treatments,</w:t>
      </w:r>
      <w:r>
        <w:t xml:space="preserve"> </w:t>
      </w:r>
      <w:r>
        <w:t xml:space="preserve">and increased 1-hr fuels for all but the HA treatment</w:t>
      </w:r>
      <w:r>
        <w:t xml:space="preserve"> </w:t>
      </w:r>
      <w:r>
        <w:t xml:space="preserve">(</w:t>
      </w:r>
      <w:hyperlink w:anchor="fig-fuel-pct-comparison">
        <w:r>
          <w:rPr>
            <w:rStyle w:val="Hyperlink"/>
          </w:rPr>
          <w:t xml:space="preserve">Figure 3.9</w:t>
        </w:r>
      </w:hyperlink>
      <w:r>
        <w:t xml:space="preserve">), although these results are not statistically</w:t>
      </w:r>
      <w:r>
        <w:t xml:space="preserve"> </w:t>
      </w:r>
      <w:r>
        <w:t xml:space="preserve">comparable, due to slightly different model structures.</w:t>
      </w:r>
    </w:p>
    <w:tbl>
      <w:tblPr>
        <w:tblStyle w:val="Table"/>
        <w:tblW w:type="pct" w:w="5000"/>
        <w:tblLook w:firstRow="0" w:lastRow="0" w:firstColumn="0" w:lastColumn="0" w:noHBand="0" w:noVBand="0" w:val="0000"/>
        <w:jc w:val="start"/>
        <w:tblLayout w:type="fixed"/>
      </w:tblPr>
      <w:tblGrid>
        <w:gridCol w:w="7920"/>
      </w:tblGrid>
      <w:tr>
        <w:tc>
          <w:tcPr/>
          <w:bookmarkStart w:id="115" w:name="fig-fuel-pct-comparison"/>
          <w:p>
            <w:pPr>
              <w:pStyle w:val="Compact"/>
              <w:jc w:val="center"/>
            </w:pPr>
            <w:r>
              <w:drawing>
                <wp:inline>
                  <wp:extent cx="5334000" cy="2667000"/>
                  <wp:effectExtent b="0" l="0" r="0" t="0"/>
                  <wp:docPr descr="" title="" id="113" name="Picture"/>
                  <a:graphic>
                    <a:graphicData uri="http://schemas.openxmlformats.org/drawingml/2006/picture">
                      <pic:pic>
                        <pic:nvPicPr>
                          <pic:cNvPr descr="thesis/results_files/figure-docx/fig-fuel-pct-comparison-1.png" id="114" name="Picture"/>
                          <pic:cNvPicPr>
                            <a:picLocks noChangeArrowheads="1" noChangeAspect="1"/>
                          </pic:cNvPicPr>
                        </pic:nvPicPr>
                        <pic:blipFill>
                          <a:blip r:embed="rId112"/>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3.9: Estimated marginal means (black dots) and confidence intervals (colored bars) of fuel loading across four treatments and five different fuel classes, before and after PCT. Pre- and Post PCT models within a treatment are from similar, but not necessarily identical models.</w:t>
            </w:r>
          </w:p>
          <w:bookmarkEnd w:id="115"/>
        </w:tc>
      </w:tr>
    </w:tbl>
    <w:bookmarkEnd w:id="116"/>
    <w:bookmarkEnd w:id="117"/>
    <w:bookmarkEnd w:id="118"/>
    <w:bookmarkStart w:id="132" w:name="discussion"/>
    <w:p>
      <w:pPr>
        <w:pStyle w:val="Heading1"/>
      </w:pPr>
      <w:r>
        <w:t xml:space="preserve">4. Discussion</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119" name="Picture"/>
                  <a:graphic>
                    <a:graphicData uri="http://schemas.openxmlformats.org/drawingml/2006/picture">
                      <pic:pic>
                        <pic:nvPicPr>
                          <pic:cNvPr descr="C:\Users\walki\AppData\Local\Programs\Quarto\share\formats\docx\caution.png" id="120" name="Picture"/>
                          <pic:cNvPicPr>
                            <a:picLocks noChangeArrowheads="1" noChangeAspect="1"/>
                          </pic:cNvPicPr>
                        </pic:nvPicPr>
                        <pic:blipFill>
                          <a:blip r:embed="rId4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Cs/>
                <w:b/>
              </w:rPr>
              <w:t xml:space="preserve">TODO</w:t>
            </w:r>
          </w:p>
          <w:p>
            <w:pPr>
              <w:numPr>
                <w:ilvl w:val="0"/>
                <w:numId w:val="1002"/>
              </w:numPr>
            </w:pPr>
            <w:r>
              <w:t xml:space="preserve">Is the regularization imposed on our random effects for sites appropriate if</w:t>
            </w:r>
            <w:r>
              <w:t xml:space="preserve"> </w:t>
            </w:r>
            <w:r>
              <w:t xml:space="preserve">the distribution of site effect is bi-modal because of north vs south facing</w:t>
            </w:r>
            <w:r>
              <w:t xml:space="preserve"> </w:t>
            </w:r>
            <w:r>
              <w:t xml:space="preserve">aspects?</w:t>
            </w:r>
          </w:p>
          <w:p>
            <w:pPr>
              <w:numPr>
                <w:ilvl w:val="0"/>
                <w:numId w:val="1002"/>
              </w:numPr>
            </w:pPr>
            <w:r>
              <w:t xml:space="preserve">Aspect is an important predictor that was not explicitly accounted for in our</w:t>
            </w:r>
            <w:r>
              <w:t xml:space="preserve"> </w:t>
            </w:r>
            <w:r>
              <w:t xml:space="preserve">model, and may have led to inflated uncertainty</w:t>
            </w:r>
          </w:p>
          <w:p>
            <w:pPr>
              <w:numPr>
                <w:ilvl w:val="0"/>
                <w:numId w:val="1002"/>
              </w:numPr>
            </w:pPr>
            <w:r>
              <w:t xml:space="preserve">GS and LD treatments were generally much harder to navigate in the field.</w:t>
            </w:r>
          </w:p>
          <w:p>
            <w:pPr>
              <w:numPr>
                <w:ilvl w:val="0"/>
                <w:numId w:val="1002"/>
              </w:numPr>
            </w:pPr>
            <w:r>
              <w:t xml:space="preserve">Cost of treatments</w:t>
            </w:r>
          </w:p>
          <w:p>
            <w:pPr>
              <w:numPr>
                <w:ilvl w:val="0"/>
                <w:numId w:val="1002"/>
              </w:numPr>
            </w:pPr>
            <w:r>
              <w:t xml:space="preserve">1-hr redwood fuels differed from other studies in that we implemented a cutoff</w:t>
            </w:r>
          </w:p>
          <w:p>
            <w:pPr>
              <w:numPr>
                <w:ilvl w:val="0"/>
                <w:numId w:val="1002"/>
              </w:numPr>
            </w:pPr>
            <w:r>
              <w:t xml:space="preserve">Discuss the decision to allow surface fuels to extend to greater than 2 meters</w:t>
            </w:r>
          </w:p>
          <w:p>
            <w:pPr>
              <w:numPr>
                <w:ilvl w:val="0"/>
                <w:numId w:val="1002"/>
              </w:numPr>
            </w:pPr>
            <w:r>
              <w:t xml:space="preserve">similar bulk densities for duff and litter: Stuart. Also, Finney combined the</w:t>
            </w:r>
            <w:r>
              <w:t xml:space="preserve"> </w:t>
            </w:r>
            <w:r>
              <w:t xml:space="preserve">two.</w:t>
            </w:r>
          </w:p>
          <w:p>
            <w:pPr>
              <w:numPr>
                <w:ilvl w:val="0"/>
                <w:numId w:val="1002"/>
              </w:numPr>
            </w:pPr>
            <w:r>
              <w:t xml:space="preserve">Little is understood about tanoak sprout response under shade</w:t>
            </w:r>
            <w:r>
              <w:t xml:space="preserve"> </w:t>
            </w:r>
            <w:r>
              <w:t xml:space="preserve">(Waring &amp; O’Hara, 2008; Wilkinson et al., 1997)</w:t>
            </w:r>
            <w:r>
              <w:t xml:space="preserve">, this</w:t>
            </w:r>
            <w:r>
              <w:t xml:space="preserve"> </w:t>
            </w:r>
            <w:r>
              <w:t xml:space="preserve">study contributes to that knowledge describing a range of tanoak sprout</w:t>
            </w:r>
            <w:r>
              <w:t xml:space="preserve"> </w:t>
            </w:r>
            <w:r>
              <w:t xml:space="preserve">development responses with varying overstory density.</w:t>
            </w:r>
          </w:p>
        </w:tc>
      </w:tr>
    </w:tbl>
    <w:bookmarkStart w:id="125" w:name="composition-1"/>
    <w:p>
      <w:pPr>
        <w:pStyle w:val="Heading2"/>
      </w:pPr>
      <w:r>
        <w:t xml:space="preserve">4.1 Composition</w:t>
      </w:r>
    </w:p>
    <w:bookmarkStart w:id="121" w:name="minor-species"/>
    <w:p>
      <w:pPr>
        <w:pStyle w:val="Heading3"/>
      </w:pPr>
      <w:r>
        <w:t xml:space="preserve">4.1.1 Minor species</w:t>
      </w:r>
    </w:p>
    <w:p>
      <w:pPr>
        <w:pStyle w:val="FirstParagraph"/>
      </w:pPr>
      <w:r>
        <w:t xml:space="preserve">Our sampling included relatively few minor species and differences across</w:t>
      </w:r>
      <w:r>
        <w:t xml:space="preserve"> </w:t>
      </w:r>
      <w:r>
        <w:t xml:space="preserve">treatments were small. The only statistically detectable difference occurred</w:t>
      </w:r>
      <w:r>
        <w:t xml:space="preserve"> </w:t>
      </w:r>
      <w:r>
        <w:t xml:space="preserve">between the LD and HA treatment where the latter had less basal area of minor</w:t>
      </w:r>
      <w:r>
        <w:t xml:space="preserve"> </w:t>
      </w:r>
      <w:r>
        <w:t xml:space="preserve">species. While this could be due to low numbers overall numbers of occurrences of</w:t>
      </w:r>
      <w:r>
        <w:t xml:space="preserve"> </w:t>
      </w:r>
      <w:r>
        <w:t xml:space="preserve">minor species and high variability within treatments, this phenomena is</w:t>
      </w:r>
      <w:r>
        <w:t xml:space="preserve"> </w:t>
      </w:r>
      <w:r>
        <w:t xml:space="preserve">corroborated by the low vegetation response found in the HA treatment for the</w:t>
      </w:r>
      <w:r>
        <w:t xml:space="preserve"> </w:t>
      </w:r>
      <w:r>
        <w:t xml:space="preserve">separately gathered fuels data (</w:t>
      </w:r>
      <w:hyperlink w:anchor="fig-fuel-pre-pct">
        <w:r>
          <w:rPr>
            <w:rStyle w:val="Hyperlink"/>
          </w:rPr>
          <w:t xml:space="preserve">Figure 3.7</w:t>
        </w:r>
      </w:hyperlink>
      <w:r>
        <w:t xml:space="preserve">), as well as for tanoak sprout</w:t>
      </w:r>
      <w:r>
        <w:t xml:space="preserve"> </w:t>
      </w:r>
      <w:r>
        <w:t xml:space="preserve">basal area where the only statistically supported evidence of treatment</w:t>
      </w:r>
      <w:r>
        <w:t xml:space="preserve"> </w:t>
      </w:r>
      <w:r>
        <w:t xml:space="preserve">difference was between the GS and HA treatments. Potential differences in minor</w:t>
      </w:r>
      <w:r>
        <w:t xml:space="preserve"> </w:t>
      </w:r>
      <w:r>
        <w:t xml:space="preserve">species abundance is likely only relevant for grand fir, due to its shade</w:t>
      </w:r>
      <w:r>
        <w:t xml:space="preserve"> </w:t>
      </w:r>
      <w:r>
        <w:t xml:space="preserve">tolerance</w:t>
      </w:r>
      <w:r>
        <w:t xml:space="preserve"> </w:t>
      </w:r>
      <w:r>
        <w:t xml:space="preserve">(Webb et al., 2012)</w:t>
      </w:r>
      <w:r>
        <w:t xml:space="preserve">. Red alder and wester hemlock were</w:t>
      </w:r>
      <w:r>
        <w:t xml:space="preserve"> </w:t>
      </w:r>
      <w:r>
        <w:t xml:space="preserve">observed earlier in this experiment, but were not detected with our current</w:t>
      </w:r>
      <w:r>
        <w:t xml:space="preserve"> </w:t>
      </w:r>
      <w:r>
        <w:t xml:space="preserve">experimental design</w:t>
      </w:r>
      <w:r>
        <w:t xml:space="preserve"> </w:t>
      </w:r>
      <w:r>
        <w:t xml:space="preserve">(R. T. Muma, 2019)</w:t>
      </w:r>
      <w:r>
        <w:t xml:space="preserve">.</w:t>
      </w:r>
    </w:p>
    <w:p>
      <w:pPr>
        <w:pStyle w:val="BodyText"/>
      </w:pPr>
      <w:r>
        <w:t xml:space="preserve">Douglas-fir is a minor species of special interest due to it’s commercial value</w:t>
      </w:r>
      <w:r>
        <w:t xml:space="preserve"> </w:t>
      </w:r>
      <w:r>
        <w:t xml:space="preserve">and ability to compete with redwoods in the first 100 years of stand development</w:t>
      </w:r>
      <w:r>
        <w:t xml:space="preserve"> </w:t>
      </w:r>
      <w:r>
        <w:t xml:space="preserve">(Wensel &amp; Krumland, 1986)</w:t>
      </w:r>
      <w:r>
        <w:t xml:space="preserve">. We didn’t detect statistically supported</w:t>
      </w:r>
      <w:r>
        <w:t xml:space="preserve"> </w:t>
      </w:r>
      <w:r>
        <w:t xml:space="preserve">differences between treatments in terms of basal area (</w:t>
      </w:r>
      <w:hyperlink w:anchor="fig-regen-ba">
        <w:r>
          <w:rPr>
            <w:rStyle w:val="Hyperlink"/>
          </w:rPr>
          <w:t xml:space="preserve">Figure 3.1</w:t>
        </w:r>
      </w:hyperlink>
      <w:r>
        <w:t xml:space="preserve">) or stem</w:t>
      </w:r>
      <w:r>
        <w:t xml:space="preserve"> </w:t>
      </w:r>
      <w:r>
        <w:t xml:space="preserve">counts (</w:t>
      </w:r>
      <w:hyperlink w:anchor="fig-df-counts">
        <w:r>
          <w:rPr>
            <w:rStyle w:val="Hyperlink"/>
          </w:rPr>
          <w:t xml:space="preserve">Figure 3.3</w:t>
        </w:r>
      </w:hyperlink>
      <w:r>
        <w:t xml:space="preserve">). While our observed recruitment density of Douglas-fir</w:t>
      </w:r>
      <w:r>
        <w:t xml:space="preserve"> </w:t>
      </w:r>
      <w:r>
        <w:t xml:space="preserve">seedlings may be sufficient for the eventual production of a viable cohort in a</w:t>
      </w:r>
      <w:r>
        <w:t xml:space="preserve"> </w:t>
      </w:r>
      <w:r>
        <w:t xml:space="preserve">multi-aged system</w:t>
      </w:r>
      <w:r>
        <w:t xml:space="preserve"> </w:t>
      </w:r>
      <w:r>
        <w:t xml:space="preserve">(Schütz and Röhnisch, 2003, as cited in Schütz &amp; Pommerening, 2013)</w:t>
      </w:r>
      <w:r>
        <w:t xml:space="preserve">, only</w:t>
      </w:r>
      <w:r>
        <w:t xml:space="preserve"> </w:t>
      </w:r>
      <w:r>
        <w:t xml:space="preserve">the LD and GS treatments are likely to maintain overstory densities conducive to</w:t>
      </w:r>
      <w:r>
        <w:t xml:space="preserve"> </w:t>
      </w:r>
      <w:r>
        <w:t xml:space="preserve">Douglas-fir seedling development</w:t>
      </w:r>
      <w:r>
        <w:t xml:space="preserve"> </w:t>
      </w:r>
      <w:r>
        <w:t xml:space="preserve">(Miller &amp; Emmingham, 2001; Schütz &amp; Pommerening, 2013)</w:t>
      </w:r>
      <w:r>
        <w:t xml:space="preserve"> </w:t>
      </w:r>
      <w:r>
        <w:t xml:space="preserve">given the overstory basal areas recorded at the</w:t>
      </w:r>
      <w:r>
        <w:t xml:space="preserve"> </w:t>
      </w:r>
      <w:r>
        <w:t xml:space="preserve">initiation of the experiment</w:t>
      </w:r>
      <w:r>
        <w:t xml:space="preserve"> </w:t>
      </w:r>
      <w:r>
        <w:t xml:space="preserve">(R. Muma et al., 2022)</w:t>
      </w:r>
      <w:r>
        <w:t xml:space="preserve">. Rapidly developing</w:t>
      </w:r>
      <w:r>
        <w:t xml:space="preserve"> </w:t>
      </w:r>
      <w:r>
        <w:t xml:space="preserve">redwood and tanoak sprouts will likely further comprise Douglas-fir seedlings</w:t>
      </w:r>
      <w:r>
        <w:t xml:space="preserve"> </w:t>
      </w:r>
      <w:r>
        <w:t xml:space="preserve">competitive ability.</w:t>
      </w:r>
    </w:p>
    <w:bookmarkEnd w:id="121"/>
    <w:bookmarkStart w:id="124" w:name="redwood-and-tanoak"/>
    <w:p>
      <w:pPr>
        <w:pStyle w:val="Heading3"/>
      </w:pPr>
      <w:r>
        <w:t xml:space="preserve">4.1.2 Redwood and tanoak</w:t>
      </w:r>
    </w:p>
    <w:p>
      <w:pPr>
        <w:pStyle w:val="FirstParagraph"/>
      </w:pPr>
      <w:r>
        <w:t xml:space="preserve">We found redwood growth in terms of average total basal area of sprouts 10 years</w:t>
      </w:r>
      <w:r>
        <w:t xml:space="preserve"> </w:t>
      </w:r>
      <w:r>
        <w:t xml:space="preserve">after harvest treatment, responded strongly and positively to</w:t>
      </w:r>
      <w:r>
        <w:t xml:space="preserve"> </w:t>
      </w:r>
      <w:r>
        <w:t xml:space="preserve">increasing levels of openness and the tanoak response was comparatively modest.</w:t>
      </w:r>
      <w:r>
        <w:t xml:space="preserve"> </w:t>
      </w:r>
      <w:r>
        <w:t xml:space="preserve">This is expected based on traditional shade tolerance theory</w:t>
      </w:r>
      <w:r>
        <w:t xml:space="preserve"> </w:t>
      </w:r>
      <w:r>
        <w:t xml:space="preserve">(Horn, 1971)</w:t>
      </w:r>
      <w:r>
        <w:t xml:space="preserve"> </w:t>
      </w:r>
      <w:r>
        <w:t xml:space="preserve">and what is commonly understood of these two</w:t>
      </w:r>
      <w:r>
        <w:t xml:space="preserve"> </w:t>
      </w:r>
      <w:r>
        <w:t xml:space="preserve">species (CITATIONS).</w:t>
      </w:r>
    </w:p>
    <w:p>
      <w:pPr>
        <w:pStyle w:val="BodyText"/>
      </w:pPr>
      <w:r>
        <w:t xml:space="preserve">The only statistically justified difference for tanoak was between the GS and HA</w:t>
      </w:r>
      <w:r>
        <w:t xml:space="preserve"> </w:t>
      </w:r>
      <w:r>
        <w:t xml:space="preserve">treatments. That we found slightly higher tanoak basal area in the HD treatment</w:t>
      </w:r>
      <w:r>
        <w:t xml:space="preserve"> </w:t>
      </w:r>
      <w:r>
        <w:t xml:space="preserve">compared to the HA may be confounded by the fact that this treatment resulted in</w:t>
      </w:r>
      <w:r>
        <w:t xml:space="preserve"> </w:t>
      </w:r>
      <w:r>
        <w:t xml:space="preserve">a greater number of tanaok stems less than 2.54 cm dbh (383 in HA vs 496 in HD,</w:t>
      </w:r>
      <w:r>
        <w:t xml:space="preserve"> </w:t>
      </w:r>
      <w:r>
        <w:t xml:space="preserve">data not shown) and that this size class was assigned the perhaps inappropriate</w:t>
      </w:r>
      <w:r>
        <w:t xml:space="preserve"> </w:t>
      </w:r>
      <w:r>
        <w:t xml:space="preserve">midpoint diameter of 1.27 cm. Thus, the basal area of these bushier tanaok in</w:t>
      </w:r>
      <w:r>
        <w:t xml:space="preserve"> </w:t>
      </w:r>
      <w:r>
        <w:t xml:space="preserve">the HD treatment may be slightly artificially elevated. On the other hand, the</w:t>
      </w:r>
      <w:r>
        <w:t xml:space="preserve"> </w:t>
      </w:r>
      <w:r>
        <w:t xml:space="preserve">small difference between the HA and HD treatments was mirrored in the vegetation</w:t>
      </w:r>
      <w:r>
        <w:t xml:space="preserve"> </w:t>
      </w:r>
      <w:r>
        <w:t xml:space="preserve">fuel loading data which was collected separately, adding support to the idea</w:t>
      </w:r>
      <w:r>
        <w:t xml:space="preserve"> </w:t>
      </w:r>
      <w:r>
        <w:t xml:space="preserve">that the HA treatment did in some way minimize tanoak sprout growth. It could be</w:t>
      </w:r>
      <w:r>
        <w:t xml:space="preserve"> </w:t>
      </w:r>
      <w:r>
        <w:t xml:space="preserve">that the lower light conditions in the HA and HD treatments approach a crossover</w:t>
      </w:r>
      <w:r>
        <w:t xml:space="preserve"> </w:t>
      </w:r>
      <w:r>
        <w:t xml:space="preserve">point where greater overstory densities would result in more growth for the</w:t>
      </w:r>
      <w:r>
        <w:t xml:space="preserve"> </w:t>
      </w:r>
      <w:r>
        <w:t xml:space="preserve">shade tolerant tanoak compared to the less shade-tolerant redwood. It is</w:t>
      </w:r>
      <w:r>
        <w:t xml:space="preserve"> </w:t>
      </w:r>
      <w:r>
        <w:t xml:space="preserve">important to remember that the HA and HD</w:t>
      </w:r>
      <w:r>
        <w:t xml:space="preserve"> </w:t>
      </w:r>
      <w:r>
        <w:t xml:space="preserve">“</w:t>
      </w:r>
      <w:r>
        <w:t xml:space="preserve">high-density</w:t>
      </w:r>
      <w:r>
        <w:t xml:space="preserve">”</w:t>
      </w:r>
      <w:r>
        <w:t xml:space="preserve"> </w:t>
      </w:r>
      <w:r>
        <w:t xml:space="preserve">treatments only targeted</w:t>
      </w:r>
      <w:r>
        <w:t xml:space="preserve"> </w:t>
      </w:r>
      <w:r>
        <w:t xml:space="preserve">a residual overstory relative density of 20% (that is 20% of assumed total</w:t>
      </w:r>
      <w:r>
        <w:t xml:space="preserve"> </w:t>
      </w:r>
      <w:r>
        <w:t xml:space="preserve">carrying capacity of the site), and it was selected as an upper limit given the</w:t>
      </w:r>
      <w:r>
        <w:t xml:space="preserve"> </w:t>
      </w:r>
      <w:r>
        <w:t xml:space="preserve">objective to maintain conifer growth. It seems likely that at higher overstory</w:t>
      </w:r>
      <w:r>
        <w:t xml:space="preserve"> </w:t>
      </w:r>
      <w:r>
        <w:t xml:space="preserve">densities we might see tanoak growth, in terms of total basal area, exceed that</w:t>
      </w:r>
      <w:r>
        <w:t xml:space="preserve"> </w:t>
      </w:r>
      <w:r>
        <w:t xml:space="preserve">of redwood. As mentioned previously, our use of basal area as a response did not</w:t>
      </w:r>
      <w:r>
        <w:t xml:space="preserve"> </w:t>
      </w:r>
      <w:r>
        <w:t xml:space="preserve">distinguish between number of stems and size of stems. There have been numerous</w:t>
      </w:r>
      <w:r>
        <w:t xml:space="preserve"> </w:t>
      </w:r>
      <w:r>
        <w:t xml:space="preserve">metrics used to attempt to assess shade tolerance</w:t>
      </w:r>
      <w:r>
        <w:t xml:space="preserve"> </w:t>
      </w:r>
      <w:r>
        <w:t xml:space="preserve">(Forrester et al., 2014)</w:t>
      </w:r>
      <w:r>
        <w:t xml:space="preserve">, our use of basal area (which conflates</w:t>
      </w:r>
      <w:r>
        <w:t xml:space="preserve"> </w:t>
      </w:r>
      <w:r>
        <w:t xml:space="preserve">growth and survival of sprouts) is justified given the assumption that these are</w:t>
      </w:r>
      <w:r>
        <w:t xml:space="preserve"> </w:t>
      </w:r>
      <w:r>
        <w:t xml:space="preserve">expected to be correlated in forests that don’t undergo a long harsh winter</w:t>
      </w:r>
      <w:r>
        <w:t xml:space="preserve"> </w:t>
      </w:r>
      <w:r>
        <w:t xml:space="preserve">(Lin et al., 2002)</w:t>
      </w:r>
      <w:r>
        <w:t xml:space="preserve">. In general, for tanoak we expect to see a</w:t>
      </w:r>
      <w:r>
        <w:t xml:space="preserve"> </w:t>
      </w:r>
      <w:r>
        <w:t xml:space="preserve">reduction of about one half moving from open overstory conditions to 20%</w:t>
      </w:r>
      <w:r>
        <w:t xml:space="preserve"> </w:t>
      </w:r>
      <w:r>
        <w:t xml:space="preserve">relative density.</w:t>
      </w:r>
    </w:p>
    <w:p>
      <w:pPr>
        <w:pStyle w:val="BodyText"/>
      </w:pPr>
      <w:r>
        <w:t xml:space="preserve">Average redwood sprout basal area 10 years after treatment was much more</w:t>
      </w:r>
      <w:r>
        <w:t xml:space="preserve"> </w:t>
      </w:r>
      <w:r>
        <w:t xml:space="preserve">dramatically affected by overstory density and each step increase in overstory</w:t>
      </w:r>
      <w:r>
        <w:t xml:space="preserve"> </w:t>
      </w:r>
      <w:r>
        <w:t xml:space="preserve">density (GS -&gt; LD -&gt; HA) saw average redwood sprout basal area reduced by around</w:t>
      </w:r>
      <w:r>
        <w:t xml:space="preserve"> </w:t>
      </w:r>
      <w:r>
        <w:t xml:space="preserve">half. Aggregated retention resulted in about 1/3 greater basal area than in the</w:t>
      </w:r>
      <w:r>
        <w:t xml:space="preserve"> </w:t>
      </w:r>
      <w:r>
        <w:t xml:space="preserve">dispersed retention but the p-values for all comparisons except between GS and</w:t>
      </w:r>
      <w:r>
        <w:t xml:space="preserve"> </w:t>
      </w:r>
      <w:r>
        <w:t xml:space="preserve">high density treatments were very high. In all treatments, the uncertainty in</w:t>
      </w:r>
      <w:r>
        <w:t xml:space="preserve"> </w:t>
      </w:r>
      <w:r>
        <w:t xml:space="preserve">the average redwood basal area is much greater than that of tanoak, given that</w:t>
      </w:r>
      <w:r>
        <w:t xml:space="preserve"> </w:t>
      </w:r>
      <w:r>
        <w:t xml:space="preserve">we modeled the total basal area of all species in each vegetation plot, this</w:t>
      </w:r>
      <w:r>
        <w:t xml:space="preserve"> </w:t>
      </w:r>
      <w:r>
        <w:t xml:space="preserve">suggests that variability in redwood basal area was much greater than that of</w:t>
      </w:r>
      <w:r>
        <w:t xml:space="preserve"> </w:t>
      </w:r>
      <w:r>
        <w:t xml:space="preserve">tanoak across macro plots and/or sites. The greater relative uncertainty we</w:t>
      </w:r>
      <w:r>
        <w:t xml:space="preserve"> </w:t>
      </w:r>
      <w:r>
        <w:t xml:space="preserve">observed in redwood compared to tanoak may have to do with redwoods greater</w:t>
      </w:r>
      <w:r>
        <w:t xml:space="preserve"> </w:t>
      </w:r>
      <w:r>
        <w:t xml:space="preserve">sensitivity to light conditions. We selected sites with both north and south</w:t>
      </w:r>
      <w:r>
        <w:t xml:space="preserve"> </w:t>
      </w:r>
      <w:r>
        <w:t xml:space="preserve">facing slopes and this may have led to relatively larger differences for</w:t>
      </w:r>
      <w:r>
        <w:t xml:space="preserve"> </w:t>
      </w:r>
      <w:r>
        <w:t xml:space="preserve">redwoods growth response compared to tanoak. It could also be that this</w:t>
      </w:r>
      <w:r>
        <w:t xml:space="preserve"> </w:t>
      </w:r>
      <w:r>
        <w:t xml:space="preserve">uncertainty is due to variable light levels within macro plots. Given the</w:t>
      </w:r>
      <w:r>
        <w:t xml:space="preserve"> </w:t>
      </w:r>
      <w:r>
        <w:t xml:space="preserve">importance of aspect for growth response, reducing our uncertainty around</w:t>
      </w:r>
      <w:r>
        <w:t xml:space="preserve"> </w:t>
      </w:r>
      <w:r>
        <w:t xml:space="preserve">redwood basal area may require better incorporating the effect of aspect into</w:t>
      </w:r>
      <w:r>
        <w:t xml:space="preserve"> </w:t>
      </w:r>
      <w:r>
        <w:t xml:space="preserve">our model. An important consideration for redwood in these plots, is that after</w:t>
      </w:r>
      <w:r>
        <w:t xml:space="preserve"> </w:t>
      </w:r>
      <w:r>
        <w:t xml:space="preserve">thinning, a fraction of existing sprouts will be retained and these will</w:t>
      </w:r>
      <w:r>
        <w:t xml:space="preserve"> </w:t>
      </w:r>
      <w:r>
        <w:t xml:space="preserve">generally be the largest and most vigorous. An interesting question that is</w:t>
      </w:r>
      <w:r>
        <w:t xml:space="preserve"> </w:t>
      </w:r>
      <w:r>
        <w:t xml:space="preserve">overlooked by our focus on total basal area is if any treatment produced larger</w:t>
      </w:r>
      <w:r>
        <w:t xml:space="preserve"> </w:t>
      </w:r>
      <w:r>
        <w:t xml:space="preserve">individuals that would eventually be selected for retention.</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22" name="Picture"/>
                  <a:graphic>
                    <a:graphicData uri="http://schemas.openxmlformats.org/drawingml/2006/picture">
                      <pic:pic>
                        <pic:nvPicPr>
                          <pic:cNvPr descr="C:\Users\walki\AppData\Local\Programs\Quarto\share\formats\docx\caution.png" id="123" name="Picture"/>
                          <pic:cNvPicPr>
                            <a:picLocks noChangeArrowheads="1" noChangeAspect="1"/>
                          </pic:cNvPicPr>
                        </pic:nvPicPr>
                        <pic:blipFill>
                          <a:blip r:embed="rId4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Cs/>
                <w:b/>
              </w:rPr>
              <w:t xml:space="preserve">TODO:</w:t>
            </w:r>
          </w:p>
          <w:p>
            <w:pPr>
              <w:pStyle w:val="BodyText"/>
            </w:pPr>
            <w:pPr>
              <w:spacing w:before="16" w:after="16"/>
            </w:pPr>
            <w:r>
              <w:t xml:space="preserve">What about the potential effects of soil type</w:t>
            </w:r>
            <w:r>
              <w:t xml:space="preserve"> </w:t>
            </w:r>
            <w:r>
              <w:t xml:space="preserve">What about the potential effects of below-ground competition</w:t>
            </w:r>
            <w:r>
              <w:t xml:space="preserve"> </w:t>
            </w:r>
            <w:r>
              <w:t xml:space="preserve">what would tanoak abundance be if they were not competing with redwood?</w:t>
            </w:r>
          </w:p>
        </w:tc>
      </w:tr>
    </w:tbl>
    <w:bookmarkEnd w:id="124"/>
    <w:bookmarkEnd w:id="125"/>
    <w:bookmarkStart w:id="126" w:name="sprout-height"/>
    <w:p>
      <w:pPr>
        <w:pStyle w:val="Heading2"/>
      </w:pPr>
      <w:r>
        <w:t xml:space="preserve">4.2 Sprout height</w:t>
      </w:r>
    </w:p>
    <w:p>
      <w:pPr>
        <w:pStyle w:val="FirstParagraph"/>
      </w:pPr>
      <w:r>
        <w:t xml:space="preserve">Marginalizing over plots was important and resulted in approximately 0.2 greater</w:t>
      </w:r>
      <w:r>
        <w:t xml:space="preserve"> </w:t>
      </w:r>
      <w:r>
        <w:t xml:space="preserve">height increment on average, compared to predictions made for an</w:t>
      </w:r>
      <w:r>
        <w:t xml:space="preserve"> </w:t>
      </w:r>
      <w:r>
        <w:t xml:space="preserve">“</w:t>
      </w:r>
      <w:r>
        <w:t xml:space="preserve">average</w:t>
      </w:r>
      <w:r>
        <w:t xml:space="preserve">”</w:t>
      </w:r>
      <w:r>
        <w:t xml:space="preserve"> </w:t>
      </w:r>
      <w:r>
        <w:t xml:space="preserve">plot</w:t>
      </w:r>
      <w:r>
        <w:t xml:space="preserve"> </w:t>
      </w:r>
      <w:r>
        <w:t xml:space="preserve">(one where all random effects were set to zero).</w:t>
      </w:r>
    </w:p>
    <w:bookmarkEnd w:id="126"/>
    <w:bookmarkStart w:id="131" w:name="fuel-loading"/>
    <w:p>
      <w:pPr>
        <w:pStyle w:val="Heading2"/>
      </w:pPr>
      <w:r>
        <w:t xml:space="preserve">4.3 Fuel loading</w:t>
      </w:r>
    </w:p>
    <w:bookmarkStart w:id="129" w:name="pre-pct-1"/>
    <w:p>
      <w:pPr>
        <w:pStyle w:val="Heading3"/>
      </w:pPr>
      <w:r>
        <w:t xml:space="preserve">4.3.1 Pre-PCT</w:t>
      </w:r>
    </w:p>
    <w:p>
      <w:pPr>
        <w:pStyle w:val="FirstParagraph"/>
      </w:pPr>
      <w:r>
        <w:t xml:space="preserve">Fuel loading found in our treatments were comparable to those found in other</w:t>
      </w:r>
      <w:r>
        <w:t xml:space="preserve"> </w:t>
      </w:r>
      <w:r>
        <w:t xml:space="preserve">studies in redwood systems. Our treatment level averages for duff and litter</w:t>
      </w:r>
      <w:r>
        <w:t xml:space="preserve"> </w:t>
      </w:r>
      <w:r>
        <w:t xml:space="preserve">ranged from 40 to 55 Mg ha</w:t>
      </w:r>
      <w:r>
        <w:rPr>
          <w:vertAlign w:val="superscript"/>
        </w:rPr>
        <w:t xml:space="preserve">-1</w:t>
      </w:r>
      <w:r>
        <w:t xml:space="preserve"> </w:t>
      </w:r>
      <w:r>
        <w:t xml:space="preserve">in plots that had post-harvest basal areas (in</w:t>
      </w:r>
      <w:r>
        <w:t xml:space="preserve"> </w:t>
      </w:r>
      <w:r>
        <w:t xml:space="preserve">2012) of 0 to 40 m</w:t>
      </w:r>
      <w:r>
        <w:rPr>
          <w:vertAlign w:val="superscript"/>
        </w:rPr>
        <w:t xml:space="preserve">2</w:t>
      </w:r>
      <w:r>
        <w:t xml:space="preserve"> </w:t>
      </w:r>
      <w:r>
        <w:t xml:space="preserve">ha</w:t>
      </w:r>
      <w:r>
        <w:rPr>
          <w:vertAlign w:val="superscript"/>
        </w:rPr>
        <w:t xml:space="preserve">-1</w:t>
      </w:r>
      <w:r>
        <w:t xml:space="preserve">. This was comparable to total duff and litter</w:t>
      </w:r>
      <w:r>
        <w:t xml:space="preserve"> </w:t>
      </w:r>
      <w:r>
        <w:t xml:space="preserve">loading found in 120-year-old redwood stands (range: 29 to 55 Mg ha</w:t>
      </w:r>
      <w:r>
        <w:rPr>
          <w:vertAlign w:val="superscript"/>
        </w:rPr>
        <w:t xml:space="preserve">-1</w:t>
      </w:r>
      <w:r>
        <w:t xml:space="preserve">) as well</w:t>
      </w:r>
      <w:r>
        <w:t xml:space="preserve"> </w:t>
      </w:r>
      <w:r>
        <w:t xml:space="preserve">as old-growth stands (average: 50 Mg ha</w:t>
      </w:r>
      <w:r>
        <w:rPr>
          <w:vertAlign w:val="superscript"/>
        </w:rPr>
        <w:t xml:space="preserve">-1</w:t>
      </w:r>
      <w:r>
        <w:t xml:space="preserve">) and our raw average duff and litter</w:t>
      </w:r>
      <w:r>
        <w:t xml:space="preserve"> </w:t>
      </w:r>
      <w:r>
        <w:t xml:space="preserve">depth of 6.2 cm (data not shown) was similar to that found in a &lt;30-year-old</w:t>
      </w:r>
      <w:r>
        <w:t xml:space="preserve"> </w:t>
      </w:r>
      <w:r>
        <w:t xml:space="preserve">mixed Douglas-fir/redwood stand</w:t>
      </w:r>
      <w:r>
        <w:t xml:space="preserve"> </w:t>
      </w:r>
      <w:r>
        <w:t xml:space="preserve">(Finney &amp; Martin, 1993a; Glebocki, 2015; Stuart, 1985)</w:t>
      </w:r>
      <w:r>
        <w:t xml:space="preserve">.</w:t>
      </w:r>
      <w:r>
        <w:t xml:space="preserve"> </w:t>
      </w:r>
      <w:r>
        <w:t xml:space="preserve">We opted to combine duff and litter into a single metric following previous</w:t>
      </w:r>
      <w:r>
        <w:t xml:space="preserve"> </w:t>
      </w:r>
      <w:r>
        <w:t xml:space="preserve">studies that found similar bulk densities for duff and litter and that</w:t>
      </w:r>
      <w:r>
        <w:t xml:space="preserve"> </w:t>
      </w:r>
      <w:r>
        <w:t xml:space="preserve">separating the two resulted in little difference from and average bulk density,</w:t>
      </w:r>
      <w:r>
        <w:t xml:space="preserve"> </w:t>
      </w:r>
      <w:r>
        <w:t xml:space="preserve">given the wide variability found in duff and litter</w:t>
      </w:r>
      <w:r>
        <w:t xml:space="preserve"> </w:t>
      </w:r>
      <w:r>
        <w:t xml:space="preserve">depths</w:t>
      </w:r>
      <w:r>
        <w:t xml:space="preserve">Finney &amp; Martin (1993a)</w:t>
      </w:r>
      <w:r>
        <w:t xml:space="preserve">.</w:t>
      </w:r>
    </w:p>
    <w:p>
      <w:pPr>
        <w:pStyle w:val="BodyText"/>
      </w:pPr>
      <w:r>
        <w:t xml:space="preserve">Our average total fine woody fuel loading, including one-, ten-, and one</w:t>
      </w:r>
      <w:r>
        <w:t xml:space="preserve"> </w:t>
      </w:r>
      <w:r>
        <w:t xml:space="preserve">hundred-hour-fuels (15 Mg ha</w:t>
      </w:r>
      <w:r>
        <w:rPr>
          <w:vertAlign w:val="superscript"/>
        </w:rPr>
        <w:t xml:space="preserve">-1</w:t>
      </w:r>
      <w:r>
        <w:t xml:space="preserve">) was within the range found in 120-year-old</w:t>
      </w:r>
      <w:r>
        <w:t xml:space="preserve"> </w:t>
      </w:r>
      <w:r>
        <w:t xml:space="preserve">stands (9 to 20 Mg ha</w:t>
      </w:r>
      <w:r>
        <w:rPr>
          <w:vertAlign w:val="superscript"/>
        </w:rPr>
        <w:t xml:space="preserve">-1</w:t>
      </w:r>
      <w:r>
        <w:t xml:space="preserve">,</w:t>
      </w:r>
      <w:r>
        <w:t xml:space="preserve"> </w:t>
      </w:r>
      <w:r>
        <w:t xml:space="preserve">Finney &amp; Martin (1993b)</w:t>
      </w:r>
      <w:r>
        <w:t xml:space="preserve">), double that</w:t>
      </w:r>
      <w:r>
        <w:t xml:space="preserve"> </w:t>
      </w:r>
      <w:r>
        <w:t xml:space="preserve">found in very young, mixed stands</w:t>
      </w:r>
      <w:r>
        <w:t xml:space="preserve"> </w:t>
      </w:r>
      <w:r>
        <w:t xml:space="preserve">(Glebocki, 2015)</w:t>
      </w:r>
      <w:r>
        <w:t xml:space="preserve">, and 4 Mg ha</w:t>
      </w:r>
      <w:r>
        <w:rPr>
          <w:vertAlign w:val="superscript"/>
        </w:rPr>
        <w:t xml:space="preserve">-1</w:t>
      </w:r>
      <w:r>
        <w:t xml:space="preserve"> </w:t>
      </w:r>
      <w:r>
        <w:t xml:space="preserve">higher</w:t>
      </w:r>
      <w:r>
        <w:t xml:space="preserve"> </w:t>
      </w:r>
      <w:r>
        <w:t xml:space="preserve">than that found in old growth stands</w:t>
      </w:r>
      <w:r>
        <w:t xml:space="preserve"> </w:t>
      </w:r>
      <w:r>
        <w:t xml:space="preserve">(Stuart, 1985)</w:t>
      </w:r>
      <w:r>
        <w:t xml:space="preserve">.</w:t>
      </w:r>
    </w:p>
    <w:p>
      <w:pPr>
        <w:pStyle w:val="BodyText"/>
      </w:pPr>
      <w:r>
        <w:t xml:space="preserve">In the following I’ll compare the average fuel loadings found in this study to</w:t>
      </w:r>
      <w:r>
        <w:t xml:space="preserve"> </w:t>
      </w:r>
      <w:r>
        <w:t xml:space="preserve">those found in the</w:t>
      </w:r>
      <w:r>
        <w:t xml:space="preserve"> </w:t>
      </w:r>
      <w:r>
        <w:t xml:space="preserve">“</w:t>
      </w:r>
      <w:r>
        <w:t xml:space="preserve">old growth</w:t>
      </w:r>
      <w:r>
        <w:t xml:space="preserve">”</w:t>
      </w:r>
      <w:r>
        <w:t xml:space="preserve"> </w:t>
      </w:r>
      <w:r>
        <w:t xml:space="preserve">and</w:t>
      </w:r>
      <w:r>
        <w:t xml:space="preserve"> </w:t>
      </w:r>
      <w:r>
        <w:t xml:space="preserve">“</w:t>
      </w:r>
      <w:r>
        <w:t xml:space="preserve">very young, mixed</w:t>
      </w:r>
      <w:r>
        <w:t xml:space="preserve">”</w:t>
      </w:r>
      <w:r>
        <w:t xml:space="preserve"> </w:t>
      </w:r>
      <w:r>
        <w:t xml:space="preserve">stands referenced above.</w:t>
      </w:r>
    </w:p>
    <w:p>
      <w:pPr>
        <w:pStyle w:val="BodyText"/>
      </w:pPr>
      <w:r>
        <w:t xml:space="preserve">Our one-hr fuel loading which, which averaged about 1 Mg ha</w:t>
      </w:r>
      <w:r>
        <w:rPr>
          <w:vertAlign w:val="superscript"/>
        </w:rPr>
        <w:t xml:space="preserve">-1</w:t>
      </w:r>
      <w:r>
        <w:t xml:space="preserve"> </w:t>
      </w:r>
      <w:r>
        <w:t xml:space="preserve">was similar to</w:t>
      </w:r>
      <w:r>
        <w:t xml:space="preserve"> </w:t>
      </w:r>
      <w:r>
        <w:t xml:space="preserve">that found in the old-growth stand, but about half that found in the very young,</w:t>
      </w:r>
      <w:r>
        <w:t xml:space="preserve"> </w:t>
      </w:r>
      <w:r>
        <w:t xml:space="preserve">mixed stand.</w:t>
      </w:r>
    </w:p>
    <w:p>
      <w:pPr>
        <w:pStyle w:val="BodyText"/>
      </w:pPr>
      <w:r>
        <w:t xml:space="preserve">Our average 10-hr fuel loading was higher than in the very</w:t>
      </w:r>
      <w:r>
        <w:t xml:space="preserve"> </w:t>
      </w:r>
      <w:r>
        <w:t xml:space="preserve">young, mixed stand (3.4 vs. 2 Mg ha</w:t>
      </w:r>
      <w:r>
        <w:rPr>
          <w:vertAlign w:val="superscript"/>
        </w:rPr>
        <w:t xml:space="preserve">-1</w:t>
      </w:r>
      <w:r>
        <w:t xml:space="preserve">) but similar to the old growth stand.</w:t>
      </w:r>
    </w:p>
    <w:p>
      <w:pPr>
        <w:pStyle w:val="BodyText"/>
      </w:pPr>
      <w:r>
        <w:t xml:space="preserve">Our average 100-hr fuel loading of about 11 Mg ha</w:t>
      </w:r>
      <w:r>
        <w:rPr>
          <w:vertAlign w:val="superscript"/>
        </w:rPr>
        <w:t xml:space="preserve">-1</w:t>
      </w:r>
      <w:r>
        <w:t xml:space="preserve"> </w:t>
      </w:r>
      <w:r>
        <w:t xml:space="preserve">was higher than in both</w:t>
      </w:r>
      <w:r>
        <w:t xml:space="preserve"> </w:t>
      </w:r>
      <w:r>
        <w:t xml:space="preserve">the old growth stands (5 Mg ha</w:t>
      </w:r>
      <w:r>
        <w:rPr>
          <w:vertAlign w:val="superscript"/>
        </w:rPr>
        <w:t xml:space="preserve">-1</w:t>
      </w:r>
      <w:r>
        <w:t xml:space="preserve">) and the very young, mixed stands (3 Mg ha</w:t>
      </w:r>
      <w:r>
        <w:rPr>
          <w:vertAlign w:val="superscript"/>
        </w:rPr>
        <w:t xml:space="preserve">-1</w:t>
      </w:r>
      <w:r>
        <w:t xml:space="preserve">).</w:t>
      </w:r>
    </w:p>
    <w:p>
      <w:pPr>
        <w:pStyle w:val="BodyText"/>
      </w:pPr>
      <w:r>
        <w:t xml:space="preserve">Our average 1,000-hr fuel loading of 42 Mg ha</w:t>
      </w:r>
      <w:r>
        <w:rPr>
          <w:vertAlign w:val="superscript"/>
        </w:rPr>
        <w:t xml:space="preserve">-1</w:t>
      </w:r>
      <w:r>
        <w:t xml:space="preserve"> </w:t>
      </w:r>
      <w:r>
        <w:t xml:space="preserve">was somewhat lower than found</w:t>
      </w:r>
      <w:r>
        <w:t xml:space="preserve"> </w:t>
      </w:r>
      <w:r>
        <w:t xml:space="preserve">in old growth stands (63 Mg ha</w:t>
      </w:r>
      <w:r>
        <w:rPr>
          <w:vertAlign w:val="superscript"/>
        </w:rPr>
        <w:t xml:space="preserve">-1</w:t>
      </w:r>
      <w:r>
        <w:t xml:space="preserve">) as well as in the very young, mixed stands</w:t>
      </w:r>
      <w:r>
        <w:t xml:space="preserve"> </w:t>
      </w:r>
      <w:r>
        <w:t xml:space="preserve">(54 Mg ha</w:t>
      </w:r>
      <w:r>
        <w:rPr>
          <w:vertAlign w:val="superscript"/>
        </w:rPr>
        <w:t xml:space="preserve">-1</w:t>
      </w:r>
      <w:r>
        <w:t xml:space="preserve">). These estimates are accompanied by relatively high standard</w:t>
      </w:r>
      <w:r>
        <w:t xml:space="preserve"> </w:t>
      </w:r>
      <w:r>
        <w:t xml:space="preserve">errors, but it would not be surprising that State Park forest, with little to no</w:t>
      </w:r>
      <w:r>
        <w:t xml:space="preserve"> </w:t>
      </w:r>
      <w:r>
        <w:t xml:space="preserve">harvest activity would have a larger amount of large downed logs then an</w:t>
      </w:r>
      <w:r>
        <w:t xml:space="preserve"> </w:t>
      </w:r>
      <w:r>
        <w:t xml:space="preserve">actively managed forest such as ours.</w:t>
      </w:r>
    </w:p>
    <w:p>
      <w:pPr>
        <w:pStyle w:val="BodyText"/>
      </w:pPr>
      <w:r>
        <w:t xml:space="preserve">Our elevated average 100-hr fuel loading may be the result of</w:t>
      </w:r>
      <w:r>
        <w:t xml:space="preserve"> </w:t>
      </w:r>
      <w:r>
        <w:t xml:space="preserve">residual fuels left over from the harvest treatment that initiated our experiment</w:t>
      </w:r>
      <w:r>
        <w:t xml:space="preserve"> </w:t>
      </w:r>
      <w:r>
        <w:t xml:space="preserve">which would have been absent from the other sites referenced here. In the very</w:t>
      </w:r>
      <w:r>
        <w:t xml:space="preserve"> </w:t>
      </w:r>
      <w:r>
        <w:t xml:space="preserve">young, mixed stand, 100-hr fuels jumped to 10 Mg ha</w:t>
      </w:r>
      <w:r>
        <w:rPr>
          <w:vertAlign w:val="superscript"/>
        </w:rPr>
        <w:t xml:space="preserve">-1</w:t>
      </w:r>
      <w:r>
        <w:t xml:space="preserve"> </w:t>
      </w:r>
      <w:r>
        <w:t xml:space="preserve">immediately following a</w:t>
      </w:r>
      <w:r>
        <w:t xml:space="preserve"> </w:t>
      </w:r>
      <w:r>
        <w:t xml:space="preserve">thinning treatment. For our 10-hr fuels, it might be reasonable to suspect that</w:t>
      </w:r>
      <w:r>
        <w:t xml:space="preserve"> </w:t>
      </w:r>
      <w:r>
        <w:t xml:space="preserve">the smaller trees in the very young, mixed stand did not supply as much 10-hr</w:t>
      </w:r>
      <w:r>
        <w:t xml:space="preserve"> </w:t>
      </w:r>
      <w:r>
        <w:t xml:space="preserve">fuels because of the sizes of their branches, whereas branch shedding patterns</w:t>
      </w:r>
      <w:r>
        <w:t xml:space="preserve"> </w:t>
      </w:r>
      <w:r>
        <w:t xml:space="preserve">in the 10-hr time lags class were more similar between our stands and the old</w:t>
      </w:r>
      <w:r>
        <w:t xml:space="preserve"> </w:t>
      </w:r>
      <w:r>
        <w:t xml:space="preserve">growth ones. Our reduced 1-hr fuel loading compared to the very young, mixed</w:t>
      </w:r>
      <w:r>
        <w:t xml:space="preserve"> </w:t>
      </w:r>
      <w:r>
        <w:t xml:space="preserve">forest could be due to differing stand structures and species compositions. That</w:t>
      </w:r>
      <w:r>
        <w:t xml:space="preserve"> </w:t>
      </w:r>
      <w:r>
        <w:t xml:space="preserve">forest was composed of a large proportion very young Douglas-fir and would be</w:t>
      </w:r>
      <w:r>
        <w:t xml:space="preserve"> </w:t>
      </w:r>
      <w:r>
        <w:t xml:space="preserve">expected to have different forest floor characteristics and this notion is</w:t>
      </w:r>
      <w:r>
        <w:t xml:space="preserve"> </w:t>
      </w:r>
      <w:r>
        <w:t xml:space="preserve">supported by our finding of similar 1-hr fuel loading as in the old growth</w:t>
      </w:r>
      <w:r>
        <w:t xml:space="preserve"> </w:t>
      </w:r>
      <w:r>
        <w:t xml:space="preserve">study. Another source of possible error is differences in sampling method for</w:t>
      </w:r>
      <w:r>
        <w:t xml:space="preserve"> </w:t>
      </w:r>
      <w:r>
        <w:t xml:space="preserve">1-hr fuels. We established a cutoff where redwood particles smaller than roughly</w:t>
      </w:r>
      <w:r>
        <w:t xml:space="preserve"> </w:t>
      </w:r>
      <w:r>
        <w:t xml:space="preserve">2 mm were considered as litter, rather than 1-hr fuels. If we had counted every</w:t>
      </w:r>
      <w:r>
        <w:t xml:space="preserve"> </w:t>
      </w:r>
      <w:r>
        <w:t xml:space="preserve">redwood leaf-spray, regardless of size, we would have likely found higher 1-hr</w:t>
      </w:r>
      <w:r>
        <w:t xml:space="preserve"> </w:t>
      </w:r>
      <w:r>
        <w:t xml:space="preserve">fuel loads.</w:t>
      </w:r>
    </w:p>
    <w:p>
      <w:pPr>
        <w:pStyle w:val="BodyText"/>
      </w:pPr>
      <w:r>
        <w:t xml:space="preserve">That we found similar average fuel loading in our Pre-PCT stands compared to two</w:t>
      </w:r>
      <w:r>
        <w:t xml:space="preserve"> </w:t>
      </w:r>
      <w:r>
        <w:t xml:space="preserve">studies in very different redwood forest structures is congruent with our</w:t>
      </w:r>
      <w:r>
        <w:t xml:space="preserve"> </w:t>
      </w:r>
      <w:r>
        <w:t xml:space="preserve">findings of few statistically significant differences between treatments in</w:t>
      </w:r>
      <w:r>
        <w:t xml:space="preserve"> </w:t>
      </w:r>
      <w:r>
        <w:t xml:space="preserve">terms of fuel loading. This result is common among other studies and is expected</w:t>
      </w:r>
      <w:r>
        <w:t xml:space="preserve"> </w:t>
      </w:r>
      <w:r>
        <w:t xml:space="preserve">due to the highly variable nature of forest fuels (CITATIONS). Statistical</w:t>
      </w:r>
      <w:r>
        <w:t xml:space="preserve"> </w:t>
      </w:r>
      <w:r>
        <w:t xml:space="preserve">difference at the p &lt; 0.05 level were only found among treatments for 1-hr and</w:t>
      </w:r>
      <w:r>
        <w:t xml:space="preserve"> </w:t>
      </w:r>
      <w:r>
        <w:t xml:space="preserve">Vegetation loading, and nearly found for Duff &amp; Litter. In all cases these</w:t>
      </w:r>
      <w:r>
        <w:t xml:space="preserve"> </w:t>
      </w:r>
      <w:r>
        <w:t xml:space="preserve">differences involved the HA treatment, but the nature of the comparisons varied</w:t>
      </w:r>
      <w:r>
        <w:t xml:space="preserve"> </w:t>
      </w:r>
      <w:r>
        <w:t xml:space="preserve">with fuel types. For instance, for Duff &amp; Litter was lowest in the HA treatment</w:t>
      </w:r>
      <w:r>
        <w:t xml:space="preserve"> </w:t>
      </w:r>
      <w:r>
        <w:t xml:space="preserve">and highest in the HD treatment (p = 0.07). Although this difference was not</w:t>
      </w:r>
      <w:r>
        <w:t xml:space="preserve"> </w:t>
      </w:r>
      <w:r>
        <w:t xml:space="preserve">statistically supported, it was paralleled by a similar trend in vegetation fuel</w:t>
      </w:r>
      <w:r>
        <w:t xml:space="preserve"> </w:t>
      </w:r>
      <w:r>
        <w:t xml:space="preserve">loading as well as in tanoak basal area (</w:t>
      </w:r>
      <w:hyperlink w:anchor="fig-regen-ba">
        <w:r>
          <w:rPr>
            <w:rStyle w:val="Hyperlink"/>
          </w:rPr>
          <w:t xml:space="preserve">Figure 3.1</w:t>
        </w:r>
      </w:hyperlink>
      <w:r>
        <w:t xml:space="preserve">). In a study across</w:t>
      </w:r>
      <w:r>
        <w:t xml:space="preserve"> </w:t>
      </w:r>
      <w:r>
        <w:t xml:space="preserve">Sierra forests, fine fuel loading (including 1-, 10-, and 100-hr fuels) were</w:t>
      </w:r>
      <w:r>
        <w:t xml:space="preserve"> </w:t>
      </w:r>
      <w:r>
        <w:t xml:space="preserve">found to be correlated with overstory canopy cover and proportion of shade</w:t>
      </w:r>
      <w:r>
        <w:t xml:space="preserve"> </w:t>
      </w:r>
      <w:r>
        <w:t xml:space="preserve">tolerant species and associated these conditions, which represent recent shifts</w:t>
      </w:r>
      <w:r>
        <w:t xml:space="preserve"> </w:t>
      </w:r>
      <w:r>
        <w:t xml:space="preserve">in forest composition resulting from fire suppression, with an elevated risk</w:t>
      </w:r>
      <w:r>
        <w:t xml:space="preserve"> </w:t>
      </w:r>
      <w:r>
        <w:t xml:space="preserve">of high severity fire</w:t>
      </w:r>
      <w:r>
        <w:t xml:space="preserve"> </w:t>
      </w:r>
      <w:r>
        <w:t xml:space="preserve">(Collins et al., 2016)</w:t>
      </w:r>
      <w:r>
        <w:t xml:space="preserve">. The</w:t>
      </w:r>
      <w:r>
        <w:t xml:space="preserve"> </w:t>
      </w:r>
      <w:r>
        <w:t xml:space="preserve">differences we observed in duff &amp; litter, and 1-hr fuel loads could be a result</w:t>
      </w:r>
      <w:r>
        <w:t xml:space="preserve"> </w:t>
      </w:r>
      <w:r>
        <w:t xml:space="preserve">of canopy cover and understory species composition directly, but it is likely</w:t>
      </w:r>
      <w:r>
        <w:t xml:space="preserve"> </w:t>
      </w:r>
      <w:r>
        <w:t xml:space="preserve">also a result of the microclimatic differences resulting from these different</w:t>
      </w:r>
      <w:r>
        <w:t xml:space="preserve"> </w:t>
      </w:r>
      <w:r>
        <w:t xml:space="preserve">stand structures. Fine fuel loads are a function of both recruitment and</w:t>
      </w:r>
      <w:r>
        <w:t xml:space="preserve"> </w:t>
      </w:r>
      <w:r>
        <w:t xml:space="preserve">decomposition and the latter is a function of moisture and temperature</w:t>
      </w:r>
      <w:r>
        <w:t xml:space="preserve"> </w:t>
      </w:r>
      <w:r>
        <w:t xml:space="preserve">(CITATIONS). Forest floor conditions in the HA treatment may have been somewhat</w:t>
      </w:r>
      <w:r>
        <w:t xml:space="preserve"> </w:t>
      </w:r>
      <w:r>
        <w:t xml:space="preserve">more moist than the more open treatments (due to sheltering), but warmer than</w:t>
      </w:r>
      <w:r>
        <w:t xml:space="preserve"> </w:t>
      </w:r>
      <w:r>
        <w:t xml:space="preserve">the HD treatment (due to greater light infiltration). While the differences in</w:t>
      </w:r>
      <w:r>
        <w:t xml:space="preserve"> </w:t>
      </w:r>
      <w:r>
        <w:t xml:space="preserve">duff &amp; litter loading we observed are not likely to have a significant impact on</w:t>
      </w:r>
      <w:r>
        <w:t xml:space="preserve"> </w:t>
      </w:r>
      <w:r>
        <w:t xml:space="preserve">fire behavior, small differences in forest floor moisture can have significant</w:t>
      </w:r>
      <w:r>
        <w:t xml:space="preserve"> </w:t>
      </w:r>
      <w:r>
        <w:t xml:space="preserve">implications for prescribed burning operations because these are often conducted</w:t>
      </w:r>
      <w:r>
        <w:t xml:space="preserve"> </w:t>
      </w:r>
      <w:r>
        <w:t xml:space="preserve">under marginal conditions (CITATIONS).</w:t>
      </w:r>
    </w:p>
    <w:p>
      <w:pPr>
        <w:pStyle w:val="BodyText"/>
      </w:pPr>
      <w:r>
        <w:t xml:space="preserve">For both 1-hr fuel loading and Vegetation fuel loading, the HA treatment was most</w:t>
      </w:r>
      <w:r>
        <w:t xml:space="preserve"> </w:t>
      </w:r>
      <w:r>
        <w:t xml:space="preserve">similar to the HD treatment. In these cases it is not surprising that a greater</w:t>
      </w:r>
      <w:r>
        <w:t xml:space="preserve"> </w:t>
      </w:r>
      <w:r>
        <w:t xml:space="preserve">density of overstory trees would result in more twigs and less light available</w:t>
      </w:r>
      <w:r>
        <w:t xml:space="preserve"> </w:t>
      </w:r>
      <w:r>
        <w:t xml:space="preserve">for growth of vegetation at the surface.</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27" name="Picture"/>
                  <a:graphic>
                    <a:graphicData uri="http://schemas.openxmlformats.org/drawingml/2006/picture">
                      <pic:pic>
                        <pic:nvPicPr>
                          <pic:cNvPr descr="C:\Users\walki\AppData\Local\Programs\Quarto\share\formats\docx\caution.png" id="128" name="Picture"/>
                          <pic:cNvPicPr>
                            <a:picLocks noChangeArrowheads="1" noChangeAspect="1"/>
                          </pic:cNvPicPr>
                        </pic:nvPicPr>
                        <pic:blipFill>
                          <a:blip r:embed="rId4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Cs/>
                <w:b/>
              </w:rPr>
              <w:t xml:space="preserve">TODO</w:t>
            </w:r>
          </w:p>
          <w:p>
            <w:pPr>
              <w:pStyle w:val="BodyText"/>
            </w:pPr>
            <w:pPr>
              <w:spacing w:before="16" w:after="16"/>
            </w:pPr>
            <w:r>
              <w:t xml:space="preserve">compare to live fuel loading in Stuart 1985</w:t>
            </w:r>
          </w:p>
        </w:tc>
      </w:tr>
    </w:tbl>
    <w:p>
      <w:pPr>
        <w:pStyle w:val="BodyText"/>
      </w:pPr>
      <w:r>
        <w:t xml:space="preserve">Vegetation fuel loading was lowest in the HA treatment, and the only statistical</w:t>
      </w:r>
      <w:r>
        <w:t xml:space="preserve"> </w:t>
      </w:r>
      <w:r>
        <w:t xml:space="preserve">difference was between the GS and HA treatments. This lower vegetation fuel</w:t>
      </w:r>
      <w:r>
        <w:t xml:space="preserve"> </w:t>
      </w:r>
      <w:r>
        <w:t xml:space="preserve">loading in the HA treatment is reflected in the tanoak basal area results for</w:t>
      </w:r>
      <w:r>
        <w:t xml:space="preserve"> </w:t>
      </w:r>
      <w:r>
        <w:t xml:space="preserve">the HA treatment, which were collected separately, and it is likely that tanoak</w:t>
      </w:r>
      <w:r>
        <w:t xml:space="preserve"> </w:t>
      </w:r>
      <w:r>
        <w:t xml:space="preserve">is largely responsible for the vegetative fuel loading differences. Although</w:t>
      </w:r>
      <w:r>
        <w:t xml:space="preserve"> </w:t>
      </w:r>
      <w:r>
        <w:t xml:space="preserve">vegetation fuel loading was not recorded by species, redwood and tanoak sprouts</w:t>
      </w:r>
      <w:r>
        <w:t xml:space="preserve"> </w:t>
      </w:r>
      <w:r>
        <w:t xml:space="preserve">comprised the vast majority of vegetation fuels.</w:t>
      </w:r>
    </w:p>
    <w:p>
      <w:pPr>
        <w:pStyle w:val="BodyText"/>
      </w:pPr>
      <w:r>
        <w:t xml:space="preserve">Consistently low foliar moisture content levels have been recorded for tanaok</w:t>
      </w:r>
      <w:r>
        <w:t xml:space="preserve"> </w:t>
      </w:r>
      <w:r>
        <w:t xml:space="preserve">(Kuljian &amp; Varner, 2010)</w:t>
      </w:r>
      <w:r>
        <w:t xml:space="preserve"> </w:t>
      </w:r>
      <w:r>
        <w:t xml:space="preserve">and the foliage has been compared to that of</w:t>
      </w:r>
      <w:r>
        <w:t xml:space="preserve"> </w:t>
      </w:r>
      <w:r>
        <w:t xml:space="preserve">other sclerophyllous species, suggesting high flammability</w:t>
      </w:r>
      <w:r>
        <w:t xml:space="preserve"> </w:t>
      </w:r>
      <w:r>
        <w:t xml:space="preserve">(Fryer, 2008; McDonald, 1981)</w:t>
      </w:r>
      <w:r>
        <w:t xml:space="preserve">.</w:t>
      </w:r>
    </w:p>
    <w:p>
      <w:pPr>
        <w:pStyle w:val="BodyText"/>
      </w:pPr>
      <w:r>
        <w:t xml:space="preserve">Our understanding of the conditions under which crown fires initiate and spread</w:t>
      </w:r>
      <w:r>
        <w:t xml:space="preserve"> </w:t>
      </w:r>
      <w:r>
        <w:t xml:space="preserve">are not well understood for several reasons and largely because of the</w:t>
      </w:r>
      <w:r>
        <w:t xml:space="preserve"> </w:t>
      </w:r>
      <w:r>
        <w:t xml:space="preserve">difficulty in observing and studying large fires</w:t>
      </w:r>
      <w:r>
        <w:t xml:space="preserve"> </w:t>
      </w:r>
      <w:r>
        <w:t xml:space="preserve">(Finney et al., 2021; Xanthopoulos &amp; Athanasiou, 2020)</w:t>
      </w:r>
      <w:r>
        <w:t xml:space="preserve">. Less still is</w:t>
      </w:r>
      <w:r>
        <w:t xml:space="preserve"> </w:t>
      </w:r>
      <w:r>
        <w:t xml:space="preserve">known about crown fire behavior in this unique and transitional fuel type (mixed</w:t>
      </w:r>
      <w:r>
        <w:t xml:space="preserve"> </w:t>
      </w:r>
      <w:r>
        <w:t xml:space="preserve">conifer/tanoak sprouts).</w:t>
      </w:r>
    </w:p>
    <w:p>
      <w:pPr>
        <w:numPr>
          <w:ilvl w:val="0"/>
          <w:numId w:val="1003"/>
        </w:numPr>
        <w:pStyle w:val="Compact"/>
      </w:pPr>
      <w:r>
        <w:t xml:space="preserve">there is little information regarding live fuel flammability and crown</w:t>
      </w:r>
      <w:r>
        <w:t xml:space="preserve"> </w:t>
      </w:r>
      <w:r>
        <w:t xml:space="preserve">ignition, although some sources suggest it is likely with low canopy base</w:t>
      </w:r>
      <w:r>
        <w:t xml:space="preserve"> </w:t>
      </w:r>
      <w:r>
        <w:t xml:space="preserve">heights.</w:t>
      </w:r>
    </w:p>
    <w:p>
      <w:pPr>
        <w:numPr>
          <w:ilvl w:val="0"/>
          <w:numId w:val="1003"/>
        </w:numPr>
        <w:pStyle w:val="Compact"/>
      </w:pPr>
      <w:r>
        <w:t xml:space="preserve">because of the relatively low bulk density of canopy fuels, smaller</w:t>
      </w:r>
      <w:r>
        <w:t xml:space="preserve"> </w:t>
      </w:r>
      <w:r>
        <w:t xml:space="preserve">differences in fuel load equate to larger differences in total fuel volume</w:t>
      </w:r>
      <w:r>
        <w:t xml:space="preserve"> </w:t>
      </w:r>
      <w:r>
        <w:t xml:space="preserve">and resulting fire behavior, as well as implications for aerial fuel</w:t>
      </w:r>
      <w:r>
        <w:t xml:space="preserve"> </w:t>
      </w:r>
      <w:r>
        <w:t xml:space="preserve">continuity</w:t>
      </w:r>
    </w:p>
    <w:p>
      <w:pPr>
        <w:numPr>
          <w:ilvl w:val="0"/>
          <w:numId w:val="1003"/>
        </w:numPr>
        <w:pStyle w:val="Compact"/>
      </w:pPr>
      <w:r>
        <w:t xml:space="preserve">sclerophyllous fuels found in chaparral ecosystems are often characterized by</w:t>
      </w:r>
      <w:r>
        <w:t xml:space="preserve"> </w:t>
      </w:r>
      <w:r>
        <w:t xml:space="preserve">intense, stand replacing fires</w:t>
      </w:r>
    </w:p>
    <w:p>
      <w:pPr>
        <w:numPr>
          <w:ilvl w:val="0"/>
          <w:numId w:val="1003"/>
        </w:numPr>
        <w:pStyle w:val="Compact"/>
      </w:pPr>
      <w:r>
        <w:t xml:space="preserve">these factors warrant more study into the fire behavior of this unique fuel</w:t>
      </w:r>
      <w:r>
        <w:t xml:space="preserve"> </w:t>
      </w:r>
      <w:r>
        <w:t xml:space="preserve">type, including its requirements for combustion, fuel moisture, and more</w:t>
      </w:r>
      <w:r>
        <w:t xml:space="preserve"> </w:t>
      </w:r>
      <w:r>
        <w:t xml:space="preserve">precise characterization of it’s mass and bulk density.</w:t>
      </w:r>
    </w:p>
    <w:p>
      <w:pPr>
        <w:pStyle w:val="FirstParagraph"/>
      </w:pPr>
      <w:r>
        <w:t xml:space="preserve">It was somewhat surprising that the modeled vegetation fuel loading</w:t>
      </w:r>
      <w:r>
        <w:t xml:space="preserve"> </w:t>
      </w:r>
      <w:r>
        <w:t xml:space="preserve">differences were not more clearly differentiated because our field crew’s</w:t>
      </w:r>
      <w:r>
        <w:t xml:space="preserve"> </w:t>
      </w:r>
      <w:r>
        <w:t xml:space="preserve">experience was that the GS and LD treatments were usually much more difficult to</w:t>
      </w:r>
      <w:r>
        <w:t xml:space="preserve"> </w:t>
      </w:r>
      <w:r>
        <w:t xml:space="preserve">work in due to the amount of understory growth present in these treatments. Our</w:t>
      </w:r>
      <w:r>
        <w:t xml:space="preserve"> </w:t>
      </w:r>
      <w:r>
        <w:t xml:space="preserve">experience in the field was partially validated by our findings of somewhat</w:t>
      </w:r>
      <w:r>
        <w:t xml:space="preserve"> </w:t>
      </w:r>
      <w:r>
        <w:t xml:space="preserve">elevated basal area of tanoak and redwood in those treatments.</w:t>
      </w:r>
    </w:p>
    <w:p>
      <w:pPr>
        <w:pStyle w:val="BodyText"/>
      </w:pPr>
      <w:r>
        <w:t xml:space="preserve">Our method of calculating vegetation fuel loading (estimated percent cover times</w:t>
      </w:r>
      <w:r>
        <w:t xml:space="preserve"> </w:t>
      </w:r>
      <w:r>
        <w:t xml:space="preserve">estimated height within an estimated cylinder) might have been overly imprecise.</w:t>
      </w:r>
      <w:r>
        <w:t xml:space="preserve"> </w:t>
      </w:r>
      <w:r>
        <w:t xml:space="preserve">Additionally, given the importance of understory light to the processes of</w:t>
      </w:r>
      <w:r>
        <w:t xml:space="preserve"> </w:t>
      </w:r>
      <w:r>
        <w:t xml:space="preserve">surface fuel decomposition as well as for understory growth, inclusion of the</w:t>
      </w:r>
      <w:r>
        <w:t xml:space="preserve"> </w:t>
      </w:r>
      <w:r>
        <w:t xml:space="preserve">variable: aspect might have led to better explanatory power in our models. Our</w:t>
      </w:r>
      <w:r>
        <w:t xml:space="preserve"> </w:t>
      </w:r>
      <w:r>
        <w:t xml:space="preserve">plots were established over a range of aspects, but it is plausible that</w:t>
      </w:r>
      <w:r>
        <w:t xml:space="preserve"> </w:t>
      </w:r>
      <w:r>
        <w:t xml:space="preserve">differences in aspect outweighed differences between treatments. We had hoped</w:t>
      </w:r>
      <w:r>
        <w:t xml:space="preserve"> </w:t>
      </w:r>
      <w:r>
        <w:t xml:space="preserve">that the inclusion of site and treatment as nested random effects would have</w:t>
      </w:r>
      <w:r>
        <w:t xml:space="preserve"> </w:t>
      </w:r>
      <w:r>
        <w:t xml:space="preserve">captured site and block level differences in aspect. Additionally, aspect is</w:t>
      </w:r>
      <w:r>
        <w:t xml:space="preserve"> </w:t>
      </w:r>
      <w:r>
        <w:t xml:space="preserve">largely a proxy for insolation, and this may have also varied with shade</w:t>
      </w:r>
      <w:r>
        <w:t xml:space="preserve"> </w:t>
      </w:r>
      <w:r>
        <w:t xml:space="preserve">conditions (very large trees or road cuts) outside of the plot.</w:t>
      </w:r>
    </w:p>
    <w:bookmarkEnd w:id="129"/>
    <w:bookmarkStart w:id="130" w:name="post-pct-1"/>
    <w:p>
      <w:pPr>
        <w:pStyle w:val="Heading3"/>
      </w:pPr>
      <w:r>
        <w:t xml:space="preserve">4.3.2 Post-PCT</w:t>
      </w:r>
    </w:p>
    <w:p>
      <w:pPr>
        <w:pStyle w:val="FirstParagraph"/>
      </w:pPr>
      <w:r>
        <w:t xml:space="preserve">Duff and litter are not reported for post-pct stands for two reasons. First,</w:t>
      </w:r>
      <w:r>
        <w:t xml:space="preserve"> </w:t>
      </w:r>
      <w:r>
        <w:t xml:space="preserve">these are not expected to have changed significantly given the relatively short</w:t>
      </w:r>
      <w:r>
        <w:t xml:space="preserve"> </w:t>
      </w:r>
      <w:r>
        <w:t xml:space="preserve">timespan before and after PCT. Second, our sampling protocol did not make it</w:t>
      </w:r>
      <w:r>
        <w:t xml:space="preserve"> </w:t>
      </w:r>
      <w:r>
        <w:t xml:space="preserve">clear how to quantify the loading for leaves attached to recently cut branches,</w:t>
      </w:r>
      <w:r>
        <w:t xml:space="preserve"> </w:t>
      </w:r>
      <w:r>
        <w:t xml:space="preserve">especially given that these</w:t>
      </w:r>
      <w:r>
        <w:t xml:space="preserve"> </w:t>
      </w:r>
      <w:r>
        <w:t xml:space="preserve">“</w:t>
      </w:r>
      <w:r>
        <w:t xml:space="preserve">suspended litter</w:t>
      </w:r>
      <w:r>
        <w:t xml:space="preserve">”</w:t>
      </w:r>
      <w:r>
        <w:t xml:space="preserve"> </w:t>
      </w:r>
      <w:r>
        <w:t xml:space="preserve">particles were in a state of</w:t>
      </w:r>
      <w:r>
        <w:t xml:space="preserve"> </w:t>
      </w:r>
      <w:r>
        <w:t xml:space="preserve">active transition to the ground, as they dry, abscise, and sift through the</w:t>
      </w:r>
      <w:r>
        <w:t xml:space="preserve"> </w:t>
      </w:r>
      <w:r>
        <w:t xml:space="preserve">coarser woody fuels as they make their way to the ground. This class may deserve</w:t>
      </w:r>
      <w:r>
        <w:t xml:space="preserve"> </w:t>
      </w:r>
      <w:r>
        <w:t xml:space="preserve">more attention because of it’s potentially dynamic relationship with the timing</w:t>
      </w:r>
      <w:r>
        <w:t xml:space="preserve"> </w:t>
      </w:r>
      <w:r>
        <w:t xml:space="preserve">of prescribed fires: as suspended particles settle and begin to decompose they’re</w:t>
      </w:r>
      <w:r>
        <w:t xml:space="preserve"> </w:t>
      </w:r>
      <w:r>
        <w:t xml:space="preserve">bulk density changes and bulk density is an important determinant of fire</w:t>
      </w:r>
      <w:r>
        <w:t xml:space="preserve"> </w:t>
      </w:r>
      <w:r>
        <w:t xml:space="preserve">behavior.</w:t>
      </w:r>
    </w:p>
    <w:p>
      <w:pPr>
        <w:pStyle w:val="BodyText"/>
      </w:pPr>
      <w:r>
        <w:t xml:space="preserve">Crews were guided to thin to achieve the same understory conditions across all</w:t>
      </w:r>
      <w:r>
        <w:t xml:space="preserve"> </w:t>
      </w:r>
      <w:r>
        <w:t xml:space="preserve">four treatments and this is indicated by similar post-PCT vegetation fuel loads</w:t>
      </w:r>
      <w:r>
        <w:t xml:space="preserve"> </w:t>
      </w:r>
      <w:r>
        <w:t xml:space="preserve">(</w:t>
      </w:r>
      <w:hyperlink w:anchor="fig-fuel-post-pct">
        <w:r>
          <w:rPr>
            <w:rStyle w:val="Hyperlink"/>
          </w:rPr>
          <w:t xml:space="preserve">Figure 3.8</w:t>
        </w:r>
      </w:hyperlink>
      <w:r>
        <w:t xml:space="preserve">). Fuel differences resulting from PCT were driven by fuels</w:t>
      </w:r>
      <w:r>
        <w:t xml:space="preserve"> </w:t>
      </w:r>
      <w:r>
        <w:t xml:space="preserve">in the vegetation fuels class, i.e., growth and productivity. Vegetative growth</w:t>
      </w:r>
      <w:r>
        <w:t xml:space="preserve"> </w:t>
      </w:r>
      <w:r>
        <w:t xml:space="preserve">following thinning and harvest is an important consideration for fire informed</w:t>
      </w:r>
      <w:r>
        <w:t xml:space="preserve"> </w:t>
      </w:r>
      <w:r>
        <w:t xml:space="preserve">management. In our experiment, 10 years of growth (followed by PCT) led to some</w:t>
      </w:r>
      <w:r>
        <w:t xml:space="preserve"> </w:t>
      </w:r>
      <w:r>
        <w:t xml:space="preserve">increase in average 100-hr fuel loading but only for the GS treatment. Ten-hr</w:t>
      </w:r>
      <w:r>
        <w:t xml:space="preserve"> </w:t>
      </w:r>
      <w:r>
        <w:t xml:space="preserve">fuels increased in the GS and LD treatments apparently as a function reducing</w:t>
      </w:r>
      <w:r>
        <w:t xml:space="preserve"> </w:t>
      </w:r>
      <w:r>
        <w:t xml:space="preserve">competition in these treatments (</w:t>
      </w:r>
      <w:hyperlink w:anchor="fig-fuel-pct-comparison">
        <w:r>
          <w:rPr>
            <w:rStyle w:val="Hyperlink"/>
          </w:rPr>
          <w:t xml:space="preserve">Figure 3.9</w:t>
        </w:r>
      </w:hyperlink>
      <w:r>
        <w:t xml:space="preserve">). One-hr fuels</w:t>
      </w:r>
      <w:r>
        <w:t xml:space="preserve"> </w:t>
      </w:r>
      <w:r>
        <w:t xml:space="preserve">increased most, in the GS and LD treatments, but also started out somewhat lower</w:t>
      </w:r>
      <w:r>
        <w:t xml:space="preserve"> </w:t>
      </w:r>
      <w:r>
        <w:t xml:space="preserve">1-hr fuel loading than the HA and HD treatments, which resulted in the</w:t>
      </w:r>
      <w:r>
        <w:t xml:space="preserve"> </w:t>
      </w:r>
      <w:r>
        <w:t xml:space="preserve">post-pct fuel loading being similar, except for in the HA treatment, where</w:t>
      </w:r>
      <w:r>
        <w:t xml:space="preserve"> </w:t>
      </w:r>
      <w:r>
        <w:t xml:space="preserve">unexpectedly low vegetative fuel loading resulted in little to no increase in</w:t>
      </w:r>
      <w:r>
        <w:t xml:space="preserve"> </w:t>
      </w:r>
      <w:r>
        <w:t xml:space="preserve">1-hr fuels after PCT, likely because much of the existing vegetation (saplings)</w:t>
      </w:r>
      <w:r>
        <w:t xml:space="preserve"> </w:t>
      </w:r>
      <w:r>
        <w:t xml:space="preserve">needed to be retained to meet the prescription (</w:t>
      </w:r>
      <w:hyperlink w:anchor="fig-fuel-pct-comparison">
        <w:r>
          <w:rPr>
            <w:rStyle w:val="Hyperlink"/>
          </w:rPr>
          <w:t xml:space="preserve">Figure 3.9</w:t>
        </w:r>
      </w:hyperlink>
      <w:r>
        <w:t xml:space="preserve">).</w:t>
      </w:r>
      <w:r>
        <w:t xml:space="preserve"> </w:t>
      </w:r>
      <w:r>
        <w:t xml:space="preserve">Pre-commercial thinning resulted in little change in 1,000-hr fuels, as thinned</w:t>
      </w:r>
      <w:r>
        <w:t xml:space="preserve"> </w:t>
      </w:r>
      <w:r>
        <w:t xml:space="preserve">sapling stems were mostly under three inches, although a potential increase</w:t>
      </w:r>
      <w:r>
        <w:t xml:space="preserve"> </w:t>
      </w:r>
      <w:r>
        <w:t xml:space="preserve">observed in the HD treatment may have been a result of some previously retained</w:t>
      </w:r>
      <w:r>
        <w:t xml:space="preserve"> </w:t>
      </w:r>
      <w:r>
        <w:t xml:space="preserve">canopy trees being cut (12 inches dbh was the prescribed upper limit for</w:t>
      </w:r>
      <w:r>
        <w:t xml:space="preserve"> </w:t>
      </w:r>
      <w:r>
        <w:t xml:space="preserve">thinning). The model selection process resulted in slightly different models</w:t>
      </w:r>
      <w:r>
        <w:t xml:space="preserve"> </w:t>
      </w:r>
      <w:r>
        <w:t xml:space="preserve">after pre-commercial thinning, compared to before thinning for a given fuel</w:t>
      </w:r>
      <w:r>
        <w:t xml:space="preserve"> </w:t>
      </w:r>
      <w:r>
        <w:t xml:space="preserve">class. These changes may be somewhat arbitrary, as the model selection process</w:t>
      </w:r>
      <w:r>
        <w:t xml:space="preserve"> </w:t>
      </w:r>
      <w:r>
        <w:t xml:space="preserve">was guided by balancing parsimony, AIC, and the production of well distributed</w:t>
      </w:r>
      <w:r>
        <w:t xml:space="preserve"> </w:t>
      </w:r>
      <w:r>
        <w:t xml:space="preserve">residuals. In a few cases, the higher values associated with post-PCT fuel</w:t>
      </w:r>
      <w:r>
        <w:t xml:space="preserve"> </w:t>
      </w:r>
      <w:r>
        <w:t xml:space="preserve">loading predictions tended towards models that accounted for greater (variation</w:t>
      </w:r>
      <w:r>
        <w:t xml:space="preserve"> </w:t>
      </w:r>
      <w:r>
        <w:t xml:space="preserve">in) variability.</w:t>
      </w:r>
    </w:p>
    <w:p>
      <w:pPr>
        <w:pStyle w:val="BodyText"/>
      </w:pPr>
      <w:r>
        <w:t xml:space="preserve">The simple method we used probably over-estimated vegetation fuel loading,</w:t>
      </w:r>
      <w:r>
        <w:t xml:space="preserve"> </w:t>
      </w:r>
      <w:r>
        <w:t xml:space="preserve">evidenced by the fact that the large fuel loading differences observed in the</w:t>
      </w:r>
      <w:r>
        <w:t xml:space="preserve"> </w:t>
      </w:r>
      <w:r>
        <w:t xml:space="preserve">vegetation class are not reflected in the increase in fine fuels. Although the</w:t>
      </w:r>
      <w:r>
        <w:t xml:space="preserve"> </w:t>
      </w:r>
      <w:r>
        <w:t xml:space="preserve">contribution of slash foliage is not accounted for, it appears our method may</w:t>
      </w:r>
      <w:r>
        <w:t xml:space="preserve"> </w:t>
      </w:r>
      <w:r>
        <w:t xml:space="preserve">have over predicted vegetation loading by around a factor of three if we assume</w:t>
      </w:r>
      <w:r>
        <w:t xml:space="preserve"> </w:t>
      </w:r>
      <w:r>
        <w:t xml:space="preserve">that the majority of the difference in vegetation fuels should be captured by</w:t>
      </w:r>
      <w:r>
        <w:t xml:space="preserve"> </w:t>
      </w:r>
      <w:r>
        <w:t xml:space="preserve">the sum of the changes in fine fuels and the decrease in 100-hr fuels after PCT</w:t>
      </w:r>
      <w:r>
        <w:t xml:space="preserve"> </w:t>
      </w:r>
      <w:r>
        <w:t xml:space="preserve">is assumed to be the result of sampling error.</w:t>
      </w:r>
    </w:p>
    <w:p>
      <w:pPr>
        <w:pStyle w:val="BodyText"/>
      </w:pPr>
      <w:r>
        <w:t xml:space="preserve">It can be seen from this analysis resulting surfaces fuel conditions are</w:t>
      </w:r>
      <w:r>
        <w:t xml:space="preserve"> </w:t>
      </w:r>
      <w:r>
        <w:t xml:space="preserve">expected to be the result of a complex interaction of productivity and</w:t>
      </w:r>
      <w:r>
        <w:t xml:space="preserve"> </w:t>
      </w:r>
      <w:r>
        <w:t xml:space="preserve">decomposition rate. Whether any of the differences we observed result in a</w:t>
      </w:r>
      <w:r>
        <w:t xml:space="preserve"> </w:t>
      </w:r>
      <w:r>
        <w:t xml:space="preserve">significant difference in prescribed or wild fire will need to be tested by</w:t>
      </w:r>
      <w:r>
        <w:t xml:space="preserve"> </w:t>
      </w:r>
      <w:r>
        <w:t xml:space="preserve">those disturbances. It is possible that the elevated 10-hr loads in the GS and</w:t>
      </w:r>
      <w:r>
        <w:t xml:space="preserve"> </w:t>
      </w:r>
      <w:r>
        <w:t xml:space="preserve">to a lesser degree, the LD treatments may represent greater fuel continuity</w:t>
      </w:r>
      <w:r>
        <w:t xml:space="preserve"> </w:t>
      </w:r>
      <w:r>
        <w:t xml:space="preserve">which could support prescribed fire operations. Likewise, the HA treatment’s</w:t>
      </w:r>
      <w:r>
        <w:t xml:space="preserve"> </w:t>
      </w:r>
      <w:r>
        <w:t xml:space="preserve">lower fuel loading across classes could signify patchy fuel distribution.</w:t>
      </w:r>
      <w:r>
        <w:t xml:space="preserve"> </w:t>
      </w:r>
      <w:r>
        <w:t xml:space="preserve">Surface fuel moisture and wind speed are two variables which we did not study</w:t>
      </w:r>
      <w:r>
        <w:t xml:space="preserve"> </w:t>
      </w:r>
      <w:r>
        <w:t xml:space="preserve">but which have a strong influence on fire behavior and are also affected by</w:t>
      </w:r>
      <w:r>
        <w:t xml:space="preserve"> </w:t>
      </w:r>
      <w:r>
        <w:t xml:space="preserve">overstory density and arrangement. Given the relatively modest difference we</w:t>
      </w:r>
      <w:r>
        <w:t xml:space="preserve"> </w:t>
      </w:r>
      <w:r>
        <w:t xml:space="preserve">observed in fuel loads, it seems likely that those unmeasured factors would have</w:t>
      </w:r>
      <w:r>
        <w:t xml:space="preserve"> </w:t>
      </w:r>
      <w:r>
        <w:t xml:space="preserve">a greater bearing on fire outcomes.</w:t>
      </w:r>
    </w:p>
    <w:bookmarkEnd w:id="130"/>
    <w:bookmarkEnd w:id="131"/>
    <w:bookmarkEnd w:id="132"/>
    <w:bookmarkStart w:id="135" w:name="conclusion"/>
    <w:p>
      <w:pPr>
        <w:pStyle w:val="Heading1"/>
      </w:pPr>
      <w:r>
        <w:t xml:space="preserve">5. Conclusion</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133" name="Picture"/>
                  <a:graphic>
                    <a:graphicData uri="http://schemas.openxmlformats.org/drawingml/2006/picture">
                      <pic:pic>
                        <pic:nvPicPr>
                          <pic:cNvPr descr="C:\Users\walki\AppData\Local\Programs\Quarto\share\formats\docx\caution.png" id="134" name="Picture"/>
                          <pic:cNvPicPr>
                            <a:picLocks noChangeArrowheads="1" noChangeAspect="1"/>
                          </pic:cNvPicPr>
                        </pic:nvPicPr>
                        <pic:blipFill>
                          <a:blip r:embed="rId4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Cs/>
                <w:b/>
              </w:rPr>
              <w:t xml:space="preserve">TODO</w:t>
            </w:r>
          </w:p>
        </w:tc>
      </w:tr>
    </w:tbl>
    <w:bookmarkEnd w:id="135"/>
    <w:bookmarkStart w:id="305" w:name="references-1"/>
    <w:p>
      <w:pPr>
        <w:pStyle w:val="Heading1"/>
      </w:pPr>
      <w:r>
        <w:t xml:space="preserve">6. References</w:t>
      </w:r>
    </w:p>
    <w:bookmarkStart w:id="304" w:name="refs"/>
    <w:bookmarkStart w:id="137" w:name="ref-ageeBasicPrinciplesForest2005"/>
    <w:p>
      <w:pPr>
        <w:pStyle w:val="Bibliography"/>
      </w:pPr>
      <w:r>
        <w:t xml:space="preserve">Agee, J. K., &amp; Skinner, C. N. (2005). Basic principles of forest fuel reduction treatments.</w:t>
      </w:r>
      <w:r>
        <w:t xml:space="preserve"> </w:t>
      </w:r>
      <w:r>
        <w:rPr>
          <w:iCs/>
          <w:i/>
        </w:rPr>
        <w:t xml:space="preserve">Forest Ecology and Management</w:t>
      </w:r>
      <w:r>
        <w:t xml:space="preserve">,</w:t>
      </w:r>
      <w:r>
        <w:t xml:space="preserve"> </w:t>
      </w:r>
      <w:r>
        <w:rPr>
          <w:iCs/>
          <w:i/>
        </w:rPr>
        <w:t xml:space="preserve">211</w:t>
      </w:r>
      <w:r>
        <w:t xml:space="preserve">(1–2), 83–96.</w:t>
      </w:r>
      <w:r>
        <w:t xml:space="preserve"> </w:t>
      </w:r>
      <w:hyperlink r:id="rId136">
        <w:r>
          <w:rPr>
            <w:rStyle w:val="Hyperlink"/>
          </w:rPr>
          <w:t xml:space="preserve">https://doi.org/10.1016/j.foreco.2005.01.034</w:t>
        </w:r>
      </w:hyperlink>
    </w:p>
    <w:bookmarkEnd w:id="137"/>
    <w:bookmarkStart w:id="138" w:name="ref-andersonTendingWildNative2013"/>
    <w:p>
      <w:pPr>
        <w:pStyle w:val="Bibliography"/>
      </w:pPr>
      <w:r>
        <w:t xml:space="preserve">Anderson, M. K. (2013).</w:t>
      </w:r>
      <w:r>
        <w:t xml:space="preserve"> </w:t>
      </w:r>
      <w:r>
        <w:rPr>
          <w:iCs/>
          <w:i/>
        </w:rPr>
        <w:t xml:space="preserve">Tending the</w:t>
      </w:r>
      <w:r>
        <w:rPr>
          <w:iCs/>
          <w:i/>
        </w:rPr>
        <w:t xml:space="preserve"> </w:t>
      </w:r>
      <w:r>
        <w:rPr>
          <w:iCs/>
          <w:i/>
        </w:rPr>
        <w:t xml:space="preserve">Wild</w:t>
      </w:r>
      <w:r>
        <w:rPr>
          <w:iCs/>
          <w:i/>
        </w:rPr>
        <w:t xml:space="preserve">:</w:t>
      </w:r>
      <w:r>
        <w:rPr>
          <w:iCs/>
          <w:i/>
        </w:rPr>
        <w:t xml:space="preserve"> </w:t>
      </w:r>
      <w:r>
        <w:rPr>
          <w:iCs/>
          <w:i/>
        </w:rPr>
        <w:t xml:space="preserve">Native American Knowledge</w:t>
      </w:r>
      <w:r>
        <w:rPr>
          <w:iCs/>
          <w:i/>
        </w:rPr>
        <w:t xml:space="preserve"> </w:t>
      </w:r>
      <w:r>
        <w:rPr>
          <w:iCs/>
          <w:i/>
        </w:rPr>
        <w:t xml:space="preserve">and the</w:t>
      </w:r>
      <w:r>
        <w:rPr>
          <w:iCs/>
          <w:i/>
        </w:rPr>
        <w:t xml:space="preserve"> </w:t>
      </w:r>
      <w:r>
        <w:rPr>
          <w:iCs/>
          <w:i/>
        </w:rPr>
        <w:t xml:space="preserve">Management</w:t>
      </w:r>
      <w:r>
        <w:rPr>
          <w:iCs/>
          <w:i/>
        </w:rPr>
        <w:t xml:space="preserve"> </w:t>
      </w:r>
      <w:r>
        <w:rPr>
          <w:iCs/>
          <w:i/>
        </w:rPr>
        <w:t xml:space="preserve">of</w:t>
      </w:r>
      <w:r>
        <w:rPr>
          <w:iCs/>
          <w:i/>
        </w:rPr>
        <w:t xml:space="preserve"> </w:t>
      </w:r>
      <w:r>
        <w:rPr>
          <w:iCs/>
          <w:i/>
        </w:rPr>
        <w:t xml:space="preserve">California</w:t>
      </w:r>
      <w:r>
        <w:rPr>
          <w:iCs/>
          <w:i/>
        </w:rPr>
        <w:t xml:space="preserve">’s</w:t>
      </w:r>
      <w:r>
        <w:rPr>
          <w:iCs/>
          <w:i/>
        </w:rPr>
        <w:t xml:space="preserve"> </w:t>
      </w:r>
      <w:r>
        <w:rPr>
          <w:iCs/>
          <w:i/>
        </w:rPr>
        <w:t xml:space="preserve">Natural Resources</w:t>
      </w:r>
      <w:r>
        <w:t xml:space="preserve">.</w:t>
      </w:r>
    </w:p>
    <w:bookmarkEnd w:id="138"/>
    <w:bookmarkStart w:id="139" w:name="ref-apletEvenVsUnevenAged1994"/>
    <w:p>
      <w:pPr>
        <w:pStyle w:val="Bibliography"/>
      </w:pPr>
      <w:r>
        <w:t xml:space="preserve">Aplet, G. H. (1994). Beyond</w:t>
      </w:r>
      <w:r>
        <w:t xml:space="preserve"> </w:t>
      </w:r>
      <w:r>
        <w:t xml:space="preserve">Even-</w:t>
      </w:r>
      <w:r>
        <w:t xml:space="preserve"> </w:t>
      </w:r>
      <w:r>
        <w:t xml:space="preserve">vs.</w:t>
      </w:r>
      <w:r>
        <w:t xml:space="preserve"> </w:t>
      </w:r>
      <w:r>
        <w:t xml:space="preserve">Uneven-Aged Management</w:t>
      </w:r>
      <w:r>
        <w:t xml:space="preserve">:</w:t>
      </w:r>
      <w:r>
        <w:t xml:space="preserve"> </w:t>
      </w:r>
      <w:r>
        <w:t xml:space="preserve">Toward</w:t>
      </w:r>
      <w:r>
        <w:t xml:space="preserve"> </w:t>
      </w:r>
      <w:r>
        <w:t xml:space="preserve">a</w:t>
      </w:r>
      <w:r>
        <w:t xml:space="preserve"> </w:t>
      </w:r>
      <w:r>
        <w:t xml:space="preserve">Cohort-Based Silviculture</w:t>
      </w:r>
      <w:r>
        <w:t xml:space="preserve">. In</w:t>
      </w:r>
      <w:r>
        <w:t xml:space="preserve"> </w:t>
      </w:r>
      <w:r>
        <w:rPr>
          <w:iCs/>
          <w:i/>
        </w:rPr>
        <w:t xml:space="preserve">Assessing</w:t>
      </w:r>
      <w:r>
        <w:rPr>
          <w:iCs/>
          <w:i/>
        </w:rPr>
        <w:t xml:space="preserve"> </w:t>
      </w:r>
      <w:r>
        <w:rPr>
          <w:iCs/>
          <w:i/>
        </w:rPr>
        <w:t xml:space="preserve">Forest Ecosystem Health</w:t>
      </w:r>
      <w:r>
        <w:rPr>
          <w:iCs/>
          <w:i/>
        </w:rPr>
        <w:t xml:space="preserve"> </w:t>
      </w:r>
      <w:r>
        <w:rPr>
          <w:iCs/>
          <w:i/>
        </w:rPr>
        <w:t xml:space="preserve">in the</w:t>
      </w:r>
      <w:r>
        <w:rPr>
          <w:iCs/>
          <w:i/>
        </w:rPr>
        <w:t xml:space="preserve"> </w:t>
      </w:r>
      <w:r>
        <w:rPr>
          <w:iCs/>
          <w:i/>
        </w:rPr>
        <w:t xml:space="preserve">Inland West</w:t>
      </w:r>
      <w:r>
        <w:t xml:space="preserve">. Routledge.</w:t>
      </w:r>
    </w:p>
    <w:bookmarkEnd w:id="139"/>
    <w:bookmarkStart w:id="141" w:name="X211c0d03304a160f793c5f90e754e8a3070e456"/>
    <w:p>
      <w:pPr>
        <w:pStyle w:val="Bibliography"/>
      </w:pPr>
      <w:r>
        <w:t xml:space="preserve">Arel-Bundock, V., Greifer, N., &amp; Heiss, A. (2024). How to interpret statistical models using</w:t>
      </w:r>
      <w:r>
        <w:t xml:space="preserve"> </w:t>
      </w:r>
      <w:r>
        <w:t xml:space="preserve">marginaleffects</w:t>
      </w:r>
      <w:r>
        <w:t xml:space="preserve"> </w:t>
      </w:r>
      <w:r>
        <w:t xml:space="preserve">for</w:t>
      </w:r>
      <w:r>
        <w:t xml:space="preserve"> </w:t>
      </w:r>
      <w:r>
        <w:t xml:space="preserve">R</w:t>
      </w:r>
      <w:r>
        <w:t xml:space="preserve"> </w:t>
      </w:r>
      <w:r>
        <w:t xml:space="preserve">and</w:t>
      </w:r>
      <w:r>
        <w:t xml:space="preserve"> </w:t>
      </w:r>
      <w:r>
        <w:t xml:space="preserve">Python</w:t>
      </w:r>
      <w:r>
        <w:t xml:space="preserve">.</w:t>
      </w:r>
      <w:r>
        <w:t xml:space="preserve"> </w:t>
      </w:r>
      <w:r>
        <w:rPr>
          <w:iCs/>
          <w:i/>
        </w:rPr>
        <w:t xml:space="preserve">Journal of Statistical Software</w:t>
      </w:r>
      <w:r>
        <w:t xml:space="preserve">,</w:t>
      </w:r>
      <w:r>
        <w:t xml:space="preserve"> </w:t>
      </w:r>
      <w:r>
        <w:rPr>
          <w:iCs/>
          <w:i/>
        </w:rPr>
        <w:t xml:space="preserve">111</w:t>
      </w:r>
      <w:r>
        <w:t xml:space="preserve">(9), 1–32.</w:t>
      </w:r>
      <w:r>
        <w:t xml:space="preserve"> </w:t>
      </w:r>
      <w:hyperlink r:id="rId140">
        <w:r>
          <w:rPr>
            <w:rStyle w:val="Hyperlink"/>
          </w:rPr>
          <w:t xml:space="preserve">https://doi.org/10.18637/jss.v111.i09</w:t>
        </w:r>
      </w:hyperlink>
    </w:p>
    <w:bookmarkEnd w:id="141"/>
    <w:bookmarkStart w:id="143" w:name="X6c365c0845721393c2c1a13aa66c373c71963b1"/>
    <w:p>
      <w:pPr>
        <w:pStyle w:val="Bibliography"/>
      </w:pPr>
      <w:r>
        <w:t xml:space="preserve">Atwood, C. J., Fox, T. R., &amp; Loftis, D. L. (2009). Effects of alternative silviculture on stump sprouting in the southern</w:t>
      </w:r>
      <w:r>
        <w:t xml:space="preserve"> </w:t>
      </w:r>
      <w:r>
        <w:t xml:space="preserve">Appalachians</w:t>
      </w:r>
      <w:r>
        <w:t xml:space="preserve">.</w:t>
      </w:r>
      <w:r>
        <w:t xml:space="preserve"> </w:t>
      </w:r>
      <w:r>
        <w:rPr>
          <w:iCs/>
          <w:i/>
        </w:rPr>
        <w:t xml:space="preserve">Forest Ecology and Management</w:t>
      </w:r>
      <w:r>
        <w:t xml:space="preserve">,</w:t>
      </w:r>
      <w:r>
        <w:t xml:space="preserve"> </w:t>
      </w:r>
      <w:r>
        <w:rPr>
          <w:iCs/>
          <w:i/>
        </w:rPr>
        <w:t xml:space="preserve">257</w:t>
      </w:r>
      <w:r>
        <w:t xml:space="preserve">(4), 1305–1313.</w:t>
      </w:r>
      <w:r>
        <w:t xml:space="preserve"> </w:t>
      </w:r>
      <w:hyperlink r:id="rId142">
        <w:r>
          <w:rPr>
            <w:rStyle w:val="Hyperlink"/>
          </w:rPr>
          <w:t xml:space="preserve">https://doi.org/10.1016/j.foreco.2008.11.028</w:t>
        </w:r>
      </w:hyperlink>
    </w:p>
    <w:bookmarkEnd w:id="143"/>
    <w:bookmarkStart w:id="144" w:name="ref-barrettModelThirdGrowth1988"/>
    <w:p>
      <w:pPr>
        <w:pStyle w:val="Bibliography"/>
      </w:pPr>
      <w:r>
        <w:t xml:space="preserve">Barrett, M. M. (1988).</w:t>
      </w:r>
      <w:r>
        <w:t xml:space="preserve"> </w:t>
      </w:r>
      <w:r>
        <w:rPr>
          <w:iCs/>
          <w:i/>
        </w:rPr>
        <w:t xml:space="preserve">A model of third growth coastal redwood sprout establishment and growth under various levels of overstory removal</w:t>
      </w:r>
      <w:r>
        <w:t xml:space="preserve"> </w:t>
      </w:r>
      <w:r>
        <w:t xml:space="preserve">[Master’s thesis]. Humboldt State University.</w:t>
      </w:r>
    </w:p>
    <w:bookmarkEnd w:id="144"/>
    <w:bookmarkStart w:id="145" w:name="ref-barretteRedwoodSproutsJackson1966"/>
    <w:p>
      <w:pPr>
        <w:pStyle w:val="Bibliography"/>
      </w:pPr>
      <w:r>
        <w:t xml:space="preserve">Barrette, B. R. (1966).</w:t>
      </w:r>
      <w:r>
        <w:t xml:space="preserve"> </w:t>
      </w:r>
      <w:r>
        <w:rPr>
          <w:iCs/>
          <w:i/>
        </w:rPr>
        <w:t xml:space="preserve">Redwood sprouts on</w:t>
      </w:r>
      <w:r>
        <w:rPr>
          <w:iCs/>
          <w:i/>
        </w:rPr>
        <w:t xml:space="preserve"> </w:t>
      </w:r>
      <w:r>
        <w:rPr>
          <w:iCs/>
          <w:i/>
        </w:rPr>
        <w:t xml:space="preserve">Jackson State Forest</w:t>
      </w:r>
      <w:r>
        <w:t xml:space="preserve"> </w:t>
      </w:r>
      <w:r>
        <w:t xml:space="preserve">(Forest Notes 29; p. 8). California Division of Forestry.</w:t>
      </w:r>
    </w:p>
    <w:bookmarkEnd w:id="145"/>
    <w:bookmarkStart w:id="147" w:name="ref-beeseTwoDecadesVariable2019"/>
    <w:p>
      <w:pPr>
        <w:pStyle w:val="Bibliography"/>
      </w:pPr>
      <w:r>
        <w:t xml:space="preserve">Beese, W. J., Deal, J., Dunsworth, B. G., Mitchell, S. J., &amp; Philpott, T. J. (2019). Two decades of variable retention in</w:t>
      </w:r>
      <w:r>
        <w:t xml:space="preserve"> </w:t>
      </w:r>
      <w:r>
        <w:t xml:space="preserve">British Columbia</w:t>
      </w:r>
      <w:r>
        <w:t xml:space="preserve">: A review of its implementation and effectiveness for biodiversity conservation.</w:t>
      </w:r>
      <w:r>
        <w:t xml:space="preserve"> </w:t>
      </w:r>
      <w:r>
        <w:rPr>
          <w:iCs/>
          <w:i/>
        </w:rPr>
        <w:t xml:space="preserve">Ecological Processes</w:t>
      </w:r>
      <w:r>
        <w:t xml:space="preserve">,</w:t>
      </w:r>
      <w:r>
        <w:t xml:space="preserve"> </w:t>
      </w:r>
      <w:r>
        <w:rPr>
          <w:iCs/>
          <w:i/>
        </w:rPr>
        <w:t xml:space="preserve">8</w:t>
      </w:r>
      <w:r>
        <w:t xml:space="preserve">(1), 33.</w:t>
      </w:r>
      <w:r>
        <w:t xml:space="preserve"> </w:t>
      </w:r>
      <w:hyperlink r:id="rId146">
        <w:r>
          <w:rPr>
            <w:rStyle w:val="Hyperlink"/>
          </w:rPr>
          <w:t xml:space="preserve">https://doi.org/10.1186/s13717-019-0181-9</w:t>
        </w:r>
      </w:hyperlink>
    </w:p>
    <w:bookmarkEnd w:id="147"/>
    <w:bookmarkStart w:id="149" w:name="ref-berrillPatternsLeafArea2007"/>
    <w:p>
      <w:pPr>
        <w:pStyle w:val="Bibliography"/>
      </w:pPr>
      <w:r>
        <w:t xml:space="preserve">Berrill, J.-P., &amp; O’Hara, K. L. (2007). Patterns of leaf area and growing space efficiency in young even-aged and multiaged coast redwood stands.</w:t>
      </w:r>
      <w:r>
        <w:t xml:space="preserve"> </w:t>
      </w:r>
      <w:r>
        <w:rPr>
          <w:iCs/>
          <w:i/>
        </w:rPr>
        <w:t xml:space="preserve">Canadian Journal of Forest Research</w:t>
      </w:r>
      <w:r>
        <w:t xml:space="preserve">,</w:t>
      </w:r>
      <w:r>
        <w:t xml:space="preserve"> </w:t>
      </w:r>
      <w:r>
        <w:rPr>
          <w:iCs/>
          <w:i/>
        </w:rPr>
        <w:t xml:space="preserve">37</w:t>
      </w:r>
      <w:r>
        <w:t xml:space="preserve">(3), 617–626.</w:t>
      </w:r>
      <w:r>
        <w:t xml:space="preserve"> </w:t>
      </w:r>
      <w:hyperlink r:id="rId148">
        <w:r>
          <w:rPr>
            <w:rStyle w:val="Hyperlink"/>
          </w:rPr>
          <w:t xml:space="preserve">https://doi.org/10.1139/X06-271</w:t>
        </w:r>
      </w:hyperlink>
    </w:p>
    <w:bookmarkEnd w:id="149"/>
    <w:bookmarkStart w:id="151" w:name="ref-berrillSimulatingMultiagedCoast2009"/>
    <w:p>
      <w:pPr>
        <w:pStyle w:val="Bibliography"/>
      </w:pPr>
      <w:r>
        <w:t xml:space="preserve">Berrill, J.-P., &amp; O’Hara, K. L. (2009). Simulating multiaged coast redwood stand development: Interactions between regeneration, structure, and productivity.</w:t>
      </w:r>
      <w:r>
        <w:t xml:space="preserve"> </w:t>
      </w:r>
      <w:r>
        <w:rPr>
          <w:iCs/>
          <w:i/>
        </w:rPr>
        <w:t xml:space="preserve">Western Journal of Applied Forestry</w:t>
      </w:r>
      <w:r>
        <w:t xml:space="preserve">,</w:t>
      </w:r>
      <w:r>
        <w:t xml:space="preserve"> </w:t>
      </w:r>
      <w:r>
        <w:rPr>
          <w:iCs/>
          <w:i/>
        </w:rPr>
        <w:t xml:space="preserve">24</w:t>
      </w:r>
      <w:r>
        <w:t xml:space="preserve">(1), 24–32.</w:t>
      </w:r>
      <w:r>
        <w:t xml:space="preserve"> </w:t>
      </w:r>
      <w:hyperlink r:id="rId150">
        <w:r>
          <w:rPr>
            <w:rStyle w:val="Hyperlink"/>
          </w:rPr>
          <w:t xml:space="preserve">https://doi.org/10.1093/wjaf/24.1.24</w:t>
        </w:r>
      </w:hyperlink>
    </w:p>
    <w:bookmarkEnd w:id="151"/>
    <w:bookmarkStart w:id="153" w:name="ref-berrillTreeSizeGrowth2017"/>
    <w:p>
      <w:pPr>
        <w:pStyle w:val="Bibliography"/>
      </w:pPr>
      <w:r>
        <w:t xml:space="preserve">Berrill, J.-P., Perry, D. W., Breshears, L. W., &amp; Gradillas, G. E. (2017). Tree size, growth, and anatomical factors associated with bear damage in young coast redwood.</w:t>
      </w:r>
      <w:r>
        <w:t xml:space="preserve"> </w:t>
      </w:r>
      <w:r>
        <w:rPr>
          <w:iCs/>
          <w:i/>
        </w:rPr>
        <w:t xml:space="preserve">Gen. Tech. Rep. PSW-GTR-258. Albany, CA: U.S. Department of Agriculture, Forest Service, Pacific Southwest Research Station</w:t>
      </w:r>
      <w:r>
        <w:t xml:space="preserve">,</w:t>
      </w:r>
      <w:r>
        <w:t xml:space="preserve"> </w:t>
      </w:r>
      <w:r>
        <w:rPr>
          <w:iCs/>
          <w:i/>
        </w:rPr>
        <w:t xml:space="preserve">258</w:t>
      </w:r>
      <w:r>
        <w:t xml:space="preserve">, 326–328.</w:t>
      </w:r>
      <w:r>
        <w:t xml:space="preserve"> </w:t>
      </w:r>
      <w:hyperlink r:id="rId152">
        <w:r>
          <w:rPr>
            <w:rStyle w:val="Hyperlink"/>
          </w:rPr>
          <w:t xml:space="preserve">https://www.fs.usda.gov/treesearch/pubs/55449</w:t>
        </w:r>
      </w:hyperlink>
    </w:p>
    <w:bookmarkEnd w:id="153"/>
    <w:bookmarkStart w:id="155" w:name="ref-berrillUnderstoryLightPredicts2018"/>
    <w:p>
      <w:pPr>
        <w:pStyle w:val="Bibliography"/>
      </w:pPr>
      <w:r>
        <w:t xml:space="preserve">Berrill, J.-P., Schneider, K., Dagley, C. M., &amp; Webb, L. A. (2018). Understory light predicts stump sprout growth in mixed multiaged stands in north coastal</w:t>
      </w:r>
      <w:r>
        <w:t xml:space="preserve"> </w:t>
      </w:r>
      <w:r>
        <w:t xml:space="preserve">California</w:t>
      </w:r>
      <w:r>
        <w:t xml:space="preserve">.</w:t>
      </w:r>
      <w:r>
        <w:t xml:space="preserve"> </w:t>
      </w:r>
      <w:r>
        <w:rPr>
          <w:iCs/>
          <w:i/>
        </w:rPr>
        <w:t xml:space="preserve">New Forests</w:t>
      </w:r>
      <w:r>
        <w:t xml:space="preserve">,</w:t>
      </w:r>
      <w:r>
        <w:t xml:space="preserve"> </w:t>
      </w:r>
      <w:r>
        <w:rPr>
          <w:iCs/>
          <w:i/>
        </w:rPr>
        <w:t xml:space="preserve">49</w:t>
      </w:r>
      <w:r>
        <w:t xml:space="preserve">(6), 815–828.</w:t>
      </w:r>
      <w:r>
        <w:t xml:space="preserve"> </w:t>
      </w:r>
      <w:hyperlink r:id="rId154">
        <w:r>
          <w:rPr>
            <w:rStyle w:val="Hyperlink"/>
          </w:rPr>
          <w:t xml:space="preserve">https://doi.org/10.1007/s11056-018-9636-6</w:t>
        </w:r>
      </w:hyperlink>
    </w:p>
    <w:bookmarkEnd w:id="155"/>
    <w:bookmarkStart w:id="156" w:name="ref-boeNaturalSeedlingsSprouts1975"/>
    <w:p>
      <w:pPr>
        <w:pStyle w:val="Bibliography"/>
      </w:pPr>
      <w:r>
        <w:t xml:space="preserve">Boe, K. N. (1975).</w:t>
      </w:r>
      <w:r>
        <w:t xml:space="preserve"> </w:t>
      </w:r>
      <w:r>
        <w:rPr>
          <w:iCs/>
          <w:i/>
        </w:rPr>
        <w:t xml:space="preserve">Natural seedlings and sprouts after regeneration cuttings in old-growth redwood.</w:t>
      </w:r>
      <w:r>
        <w:t xml:space="preserve"> </w:t>
      </w:r>
      <w:r>
        <w:t xml:space="preserve">(Research Paper PSW-111; p. 21).</w:t>
      </w:r>
      <w:r>
        <w:t xml:space="preserve"> </w:t>
      </w:r>
      <w:r>
        <w:t xml:space="preserve">U.S. Department of Agriculture, Forest Service, Pacific Southwest Forest and Range Experiment Station</w:t>
      </w:r>
      <w:r>
        <w:t xml:space="preserve">.</w:t>
      </w:r>
    </w:p>
    <w:bookmarkEnd w:id="156"/>
    <w:bookmarkStart w:id="157" w:name="ref-bowcuttTanoakTargetRise2011"/>
    <w:p>
      <w:pPr>
        <w:pStyle w:val="Bibliography"/>
      </w:pPr>
      <w:r>
        <w:t xml:space="preserve">Bowcutt, F. (2011). Tanoak target: The rise and fall of herbicide use on a common native tree.</w:t>
      </w:r>
      <w:r>
        <w:t xml:space="preserve"> </w:t>
      </w:r>
      <w:r>
        <w:rPr>
          <w:iCs/>
          <w:i/>
        </w:rPr>
        <w:t xml:space="preserve">Environmental History</w:t>
      </w:r>
      <w:r>
        <w:t xml:space="preserve">,</w:t>
      </w:r>
      <w:r>
        <w:t xml:space="preserve"> </w:t>
      </w:r>
      <w:r>
        <w:rPr>
          <w:iCs/>
          <w:i/>
        </w:rPr>
        <w:t xml:space="preserve">16</w:t>
      </w:r>
      <w:r>
        <w:t xml:space="preserve">(2), 197–225.</w:t>
      </w:r>
    </w:p>
    <w:bookmarkEnd w:id="157"/>
    <w:bookmarkStart w:id="159" w:name="ref-brooksGlmmTMBBalancesSpeed2017"/>
    <w:p>
      <w:pPr>
        <w:pStyle w:val="Bibliography"/>
      </w:pPr>
      <w:r>
        <w:t xml:space="preserve">Brooks, M. E., Kristensen, K., van Benthem, K. J., Magnusson, A. ni, Berg, C. W., Nielsen, A., Skaug, H. J., ler, M. M., &amp; Bolker, B. M. (2017).</w:t>
      </w:r>
      <w:r>
        <w:t xml:space="preserve"> </w:t>
      </w:r>
      <w:r>
        <w:t xml:space="preserve">glmmTMB</w:t>
      </w:r>
      <w:r>
        <w:t xml:space="preserve"> </w:t>
      </w:r>
      <w:r>
        <w:t xml:space="preserve">balances speed and flexibility among packages for zero-inflate d generalized linear mixed modeling.</w:t>
      </w:r>
      <w:r>
        <w:t xml:space="preserve"> </w:t>
      </w:r>
      <w:r>
        <w:rPr>
          <w:iCs/>
          <w:i/>
        </w:rPr>
        <w:t xml:space="preserve">The R Journal</w:t>
      </w:r>
      <w:r>
        <w:t xml:space="preserve">,</w:t>
      </w:r>
      <w:r>
        <w:t xml:space="preserve"> </w:t>
      </w:r>
      <w:r>
        <w:rPr>
          <w:iCs/>
          <w:i/>
        </w:rPr>
        <w:t xml:space="preserve">9</w:t>
      </w:r>
      <w:r>
        <w:t xml:space="preserve">(2), 378–400.</w:t>
      </w:r>
      <w:r>
        <w:t xml:space="preserve"> </w:t>
      </w:r>
      <w:hyperlink r:id="rId158">
        <w:r>
          <w:rPr>
            <w:rStyle w:val="Hyperlink"/>
          </w:rPr>
          <w:t xml:space="preserve">https://doi.org/10.32614/RJ-2017-066</w:t>
        </w:r>
      </w:hyperlink>
    </w:p>
    <w:bookmarkEnd w:id="159"/>
    <w:bookmarkStart w:id="160" w:name="ref-brownHandbookInventoryingDowned1974"/>
    <w:p>
      <w:pPr>
        <w:pStyle w:val="Bibliography"/>
      </w:pPr>
      <w:r>
        <w:t xml:space="preserve">Brown, J. K. (1974). Handbook for inventorying downed woody material.</w:t>
      </w:r>
      <w:r>
        <w:t xml:space="preserve"> </w:t>
      </w:r>
      <w:r>
        <w:rPr>
          <w:iCs/>
          <w:i/>
        </w:rPr>
        <w:t xml:space="preserve">Gen. Tech. Rep. INT-16. Ogden, UT: US Department of Agriculture, Forest Service, Intermountain Forest and Range Experiment Station. 24 p.</w:t>
      </w:r>
      <w:r>
        <w:t xml:space="preserve">,</w:t>
      </w:r>
      <w:r>
        <w:t xml:space="preserve"> </w:t>
      </w:r>
      <w:r>
        <w:rPr>
          <w:iCs/>
          <w:i/>
        </w:rPr>
        <w:t xml:space="preserve">16</w:t>
      </w:r>
      <w:r>
        <w:t xml:space="preserve">.</w:t>
      </w:r>
    </w:p>
    <w:bookmarkEnd w:id="160"/>
    <w:bookmarkStart w:id="162" w:name="ref-burtonFineFuelChanges2022"/>
    <w:p>
      <w:pPr>
        <w:pStyle w:val="Bibliography"/>
      </w:pPr>
      <w:r>
        <w:t xml:space="preserve">Burton, J. E., Cawson, J. G., Filkov, A. I., &amp; Penman, T. D. (2022). Fine fuel changes due to timber harvesting and frequent prescribed burning in eucalypt forests of southeastern</w:t>
      </w:r>
      <w:r>
        <w:t xml:space="preserve"> </w:t>
      </w:r>
      <w:r>
        <w:t xml:space="preserve">Australia</w:t>
      </w:r>
      <w:r>
        <w:t xml:space="preserve">.</w:t>
      </w:r>
      <w:r>
        <w:t xml:space="preserve"> </w:t>
      </w:r>
      <w:r>
        <w:rPr>
          <w:iCs/>
          <w:i/>
        </w:rPr>
        <w:t xml:space="preserve">Forest Ecology and Management</w:t>
      </w:r>
      <w:r>
        <w:t xml:space="preserve">,</w:t>
      </w:r>
      <w:r>
        <w:t xml:space="preserve"> </w:t>
      </w:r>
      <w:r>
        <w:rPr>
          <w:iCs/>
          <w:i/>
        </w:rPr>
        <w:t xml:space="preserve">520</w:t>
      </w:r>
      <w:r>
        <w:t xml:space="preserve">, 120353.</w:t>
      </w:r>
      <w:r>
        <w:t xml:space="preserve"> </w:t>
      </w:r>
      <w:hyperlink r:id="rId161">
        <w:r>
          <w:rPr>
            <w:rStyle w:val="Hyperlink"/>
          </w:rPr>
          <w:t xml:space="preserve">https://doi.org/10.1016/j.foreco.2022.120353</w:t>
        </w:r>
      </w:hyperlink>
    </w:p>
    <w:bookmarkEnd w:id="162"/>
    <w:bookmarkStart w:id="164" w:name="X0a4ab0c079815d7932c95a9002fb2d264ee20b2"/>
    <w:p>
      <w:pPr>
        <w:pStyle w:val="Bibliography"/>
      </w:pPr>
      <w:r>
        <w:t xml:space="preserve">Collins, B. M., Lydersen, J. M., Fry, D. L., Wilkin, K., Moody, T., &amp; Stephens, S. L. (2016). Variability in vegetation and surface fuels across mixed-conifer-dominated landscapes with over 40 years of natural fire.</w:t>
      </w:r>
      <w:r>
        <w:t xml:space="preserve"> </w:t>
      </w:r>
      <w:r>
        <w:rPr>
          <w:iCs/>
          <w:i/>
        </w:rPr>
        <w:t xml:space="preserve">Forest Ecology and Management</w:t>
      </w:r>
      <w:r>
        <w:t xml:space="preserve">,</w:t>
      </w:r>
      <w:r>
        <w:t xml:space="preserve"> </w:t>
      </w:r>
      <w:r>
        <w:rPr>
          <w:iCs/>
          <w:i/>
        </w:rPr>
        <w:t xml:space="preserve">381</w:t>
      </w:r>
      <w:r>
        <w:t xml:space="preserve">, 74–83.</w:t>
      </w:r>
      <w:r>
        <w:t xml:space="preserve"> </w:t>
      </w:r>
      <w:hyperlink r:id="rId163">
        <w:r>
          <w:rPr>
            <w:rStyle w:val="Hyperlink"/>
          </w:rPr>
          <w:t xml:space="preserve">https://doi.org/10.1016/j.foreco.2016.09.010</w:t>
        </w:r>
      </w:hyperlink>
    </w:p>
    <w:bookmarkEnd w:id="164"/>
    <w:bookmarkStart w:id="166" w:name="X167da6263f5d7a4386612ea64bea1f9b65d5593"/>
    <w:p>
      <w:pPr>
        <w:pStyle w:val="Bibliography"/>
      </w:pPr>
      <w:r>
        <w:t xml:space="preserve">Dagley, C. M., Berrill, J.-P., Leonard, L. P., &amp; Kim, Y. G. (2018). Restoration thinning enhances growth and diversity in mixed redwood/</w:t>
      </w:r>
      <w:r>
        <w:t xml:space="preserve">Douglas-fir</w:t>
      </w:r>
      <w:r>
        <w:t xml:space="preserve"> </w:t>
      </w:r>
      <w:r>
        <w:t xml:space="preserve">stands in northern</w:t>
      </w:r>
      <w:r>
        <w:t xml:space="preserve"> </w:t>
      </w:r>
      <w:r>
        <w:t xml:space="preserve">California</w:t>
      </w:r>
      <w:r>
        <w:t xml:space="preserve">,</w:t>
      </w:r>
      <w:r>
        <w:t xml:space="preserve"> </w:t>
      </w:r>
      <w:r>
        <w:t xml:space="preserve">U</w:t>
      </w:r>
      <w:r>
        <w:t xml:space="preserve">.</w:t>
      </w:r>
      <w:r>
        <w:t xml:space="preserve">S</w:t>
      </w:r>
      <w:r>
        <w:t xml:space="preserve">.</w:t>
      </w:r>
      <w:r>
        <w:t xml:space="preserve">A</w:t>
      </w:r>
      <w:r>
        <w:t xml:space="preserve">.:</w:t>
      </w:r>
      <w:r>
        <w:t xml:space="preserve"> </w:t>
      </w:r>
      <w:r>
        <w:t xml:space="preserve">Redwood</w:t>
      </w:r>
      <w:r>
        <w:t xml:space="preserve"> </w:t>
      </w:r>
      <w:r>
        <w:t xml:space="preserve">ecosystem responses to restoration thinning.</w:t>
      </w:r>
      <w:r>
        <w:t xml:space="preserve"> </w:t>
      </w:r>
      <w:r>
        <w:rPr>
          <w:iCs/>
          <w:i/>
        </w:rPr>
        <w:t xml:space="preserve">Restoration Ecology</w:t>
      </w:r>
      <w:r>
        <w:t xml:space="preserve">,</w:t>
      </w:r>
      <w:r>
        <w:t xml:space="preserve"> </w:t>
      </w:r>
      <w:r>
        <w:rPr>
          <w:iCs/>
          <w:i/>
        </w:rPr>
        <w:t xml:space="preserve">26</w:t>
      </w:r>
      <w:r>
        <w:t xml:space="preserve">(6), 1170–1179.</w:t>
      </w:r>
      <w:r>
        <w:t xml:space="preserve"> </w:t>
      </w:r>
      <w:hyperlink r:id="rId165">
        <w:r>
          <w:rPr>
            <w:rStyle w:val="Hyperlink"/>
          </w:rPr>
          <w:t xml:space="preserve">https://doi.org/10.1111/rec.12681</w:t>
        </w:r>
      </w:hyperlink>
    </w:p>
    <w:bookmarkEnd w:id="166"/>
    <w:bookmarkStart w:id="168" w:name="ref-dagleyHeavyCrownThinning2023"/>
    <w:p>
      <w:pPr>
        <w:pStyle w:val="Bibliography"/>
      </w:pPr>
      <w:r>
        <w:t xml:space="preserve">Dagley, C. M., Fisher, J., Teraoka, J., Powell, S., &amp; Berrill, J.-P. (2023). Heavy crown thinning in redwood/</w:t>
      </w:r>
      <w:r>
        <w:t xml:space="preserve">Douglas-fir</w:t>
      </w:r>
      <w:r>
        <w:t xml:space="preserve"> </w:t>
      </w:r>
      <w:r>
        <w:t xml:space="preserve">gave superior forest restoration outcomes after 10 years.</w:t>
      </w:r>
      <w:r>
        <w:t xml:space="preserve"> </w:t>
      </w:r>
      <w:r>
        <w:rPr>
          <w:iCs/>
          <w:i/>
        </w:rPr>
        <w:t xml:space="preserve">Canadian Journal of Forest Research</w:t>
      </w:r>
      <w:r>
        <w:t xml:space="preserve">,</w:t>
      </w:r>
      <w:r>
        <w:t xml:space="preserve"> </w:t>
      </w:r>
      <w:r>
        <w:rPr>
          <w:iCs/>
          <w:i/>
        </w:rPr>
        <w:t xml:space="preserve">53</w:t>
      </w:r>
      <w:r>
        <w:t xml:space="preserve">(8), 579–590.</w:t>
      </w:r>
      <w:r>
        <w:t xml:space="preserve"> </w:t>
      </w:r>
      <w:hyperlink r:id="rId167">
        <w:r>
          <w:rPr>
            <w:rStyle w:val="Hyperlink"/>
          </w:rPr>
          <w:t xml:space="preserve">https://doi.org/10.1139/cjfr-2022-0214</w:t>
        </w:r>
      </w:hyperlink>
    </w:p>
    <w:bookmarkEnd w:id="168"/>
    <w:bookmarkStart w:id="170" w:name="X90fcb0808ff2eb2eb96c03a808b9ada8f4694e4"/>
    <w:p>
      <w:pPr>
        <w:pStyle w:val="Bibliography"/>
      </w:pPr>
      <w:r>
        <w:t xml:space="preserve">Del Tredici, P. (2001). Sprouting in temperate trees:</w:t>
      </w:r>
      <w:r>
        <w:t xml:space="preserve"> </w:t>
      </w:r>
      <w:r>
        <w:t xml:space="preserve">A</w:t>
      </w:r>
      <w:r>
        <w:t xml:space="preserve"> </w:t>
      </w:r>
      <w:r>
        <w:t xml:space="preserve">morphological and ecological review.</w:t>
      </w:r>
      <w:r>
        <w:t xml:space="preserve"> </w:t>
      </w:r>
      <w:r>
        <w:rPr>
          <w:iCs/>
          <w:i/>
        </w:rPr>
        <w:t xml:space="preserve">The Botanical Review</w:t>
      </w:r>
      <w:r>
        <w:t xml:space="preserve">,</w:t>
      </w:r>
      <w:r>
        <w:t xml:space="preserve"> </w:t>
      </w:r>
      <w:r>
        <w:rPr>
          <w:iCs/>
          <w:i/>
        </w:rPr>
        <w:t xml:space="preserve">67</w:t>
      </w:r>
      <w:r>
        <w:t xml:space="preserve">(2), 121–140.</w:t>
      </w:r>
      <w:r>
        <w:t xml:space="preserve"> </w:t>
      </w:r>
      <w:hyperlink r:id="rId169">
        <w:r>
          <w:rPr>
            <w:rStyle w:val="Hyperlink"/>
          </w:rPr>
          <w:t xml:space="preserve">https://doi.org/10.1007/BF02858075</w:t>
        </w:r>
      </w:hyperlink>
    </w:p>
    <w:bookmarkEnd w:id="170"/>
    <w:bookmarkStart w:id="172" w:name="ref-deyModelingRegenerationOak1996"/>
    <w:p>
      <w:pPr>
        <w:pStyle w:val="Bibliography"/>
      </w:pPr>
      <w:r>
        <w:t xml:space="preserve">Dey, D. C., Johnson, P. S., &amp; Garrett, H. E. (1996). Modeling the regeneration of oak stands in the</w:t>
      </w:r>
      <w:r>
        <w:t xml:space="preserve"> </w:t>
      </w:r>
      <w:r>
        <w:t xml:space="preserve">Missouri Ozark Highlands</w:t>
      </w:r>
      <w:r>
        <w:t xml:space="preserve">.</w:t>
      </w:r>
      <w:r>
        <w:t xml:space="preserve"> </w:t>
      </w:r>
      <w:r>
        <w:rPr>
          <w:iCs/>
          <w:i/>
        </w:rPr>
        <w:t xml:space="preserve">Canadian Journal of Forest Research</w:t>
      </w:r>
      <w:r>
        <w:t xml:space="preserve">,</w:t>
      </w:r>
      <w:r>
        <w:t xml:space="preserve"> </w:t>
      </w:r>
      <w:r>
        <w:rPr>
          <w:iCs/>
          <w:i/>
        </w:rPr>
        <w:t xml:space="preserve">26</w:t>
      </w:r>
      <w:r>
        <w:t xml:space="preserve">(4), 573–583.</w:t>
      </w:r>
      <w:r>
        <w:t xml:space="preserve"> </w:t>
      </w:r>
      <w:hyperlink r:id="rId171">
        <w:r>
          <w:rPr>
            <w:rStyle w:val="Hyperlink"/>
          </w:rPr>
          <w:t xml:space="preserve">https://doi.org/10.1139/x26-066</w:t>
        </w:r>
      </w:hyperlink>
    </w:p>
    <w:bookmarkEnd w:id="172"/>
    <w:bookmarkStart w:id="173" w:name="ref-finneyFuelLoadingBulk1993"/>
    <w:p>
      <w:pPr>
        <w:pStyle w:val="Bibliography"/>
      </w:pPr>
      <w:r>
        <w:t xml:space="preserve">Finney, M. A., &amp; Martin, R. E. (1993a). Fuel loading, bulk density, and depth of forest floor in coast redwood stands.</w:t>
      </w:r>
      <w:r>
        <w:t xml:space="preserve"> </w:t>
      </w:r>
      <w:r>
        <w:rPr>
          <w:iCs/>
          <w:i/>
        </w:rPr>
        <w:t xml:space="preserve">Forest Science</w:t>
      </w:r>
      <w:r>
        <w:t xml:space="preserve">,</w:t>
      </w:r>
      <w:r>
        <w:t xml:space="preserve"> </w:t>
      </w:r>
      <w:r>
        <w:rPr>
          <w:iCs/>
          <w:i/>
        </w:rPr>
        <w:t xml:space="preserve">39</w:t>
      </w:r>
      <w:r>
        <w:t xml:space="preserve">(3), 617–622.</w:t>
      </w:r>
    </w:p>
    <w:bookmarkEnd w:id="173"/>
    <w:bookmarkStart w:id="175" w:name="ref-finneyModelingEffectsPrescribed1993"/>
    <w:p>
      <w:pPr>
        <w:pStyle w:val="Bibliography"/>
      </w:pPr>
      <w:r>
        <w:t xml:space="preserve">Finney, M. A., &amp; Martin, R. E. (1993b). Modeling effects of prescribed fire on young-growth coast redwood trees.</w:t>
      </w:r>
      <w:r>
        <w:t xml:space="preserve"> </w:t>
      </w:r>
      <w:r>
        <w:rPr>
          <w:iCs/>
          <w:i/>
        </w:rPr>
        <w:t xml:space="preserve">Canadian Journal of Forest Research</w:t>
      </w:r>
      <w:r>
        <w:t xml:space="preserve">,</w:t>
      </w:r>
      <w:r>
        <w:t xml:space="preserve"> </w:t>
      </w:r>
      <w:r>
        <w:rPr>
          <w:iCs/>
          <w:i/>
        </w:rPr>
        <w:t xml:space="preserve">23</w:t>
      </w:r>
      <w:r>
        <w:t xml:space="preserve">(6), 1125–1135.</w:t>
      </w:r>
      <w:r>
        <w:t xml:space="preserve"> </w:t>
      </w:r>
      <w:hyperlink r:id="rId174">
        <w:r>
          <w:rPr>
            <w:rStyle w:val="Hyperlink"/>
          </w:rPr>
          <w:t xml:space="preserve">https://doi.org/10.1139/x93-143</w:t>
        </w:r>
      </w:hyperlink>
    </w:p>
    <w:bookmarkEnd w:id="175"/>
    <w:bookmarkStart w:id="176" w:name="ref-finneyWildlandFireBehaviour2021"/>
    <w:p>
      <w:pPr>
        <w:pStyle w:val="Bibliography"/>
      </w:pPr>
      <w:r>
        <w:t xml:space="preserve">Finney, M. A., McAllister, S. S., Grumstrup, T. P., &amp; Forthofer, J. M. (2021).</w:t>
      </w:r>
      <w:r>
        <w:t xml:space="preserve"> </w:t>
      </w:r>
      <w:r>
        <w:rPr>
          <w:iCs/>
          <w:i/>
        </w:rPr>
        <w:t xml:space="preserve">Wildland fire behaviour: Dynamics, principles and processes</w:t>
      </w:r>
      <w:r>
        <w:t xml:space="preserve">. CSIRO Publishing.</w:t>
      </w:r>
    </w:p>
    <w:bookmarkEnd w:id="176"/>
    <w:bookmarkStart w:id="177" w:name="X931487919ec4bf6cf170c96cc14a176e58468f6"/>
    <w:p>
      <w:pPr>
        <w:pStyle w:val="Bibliography"/>
      </w:pPr>
      <w:r>
        <w:t xml:space="preserve">Fonda, R. W., Belanger, L. A., &amp; Burley, L. L. (1998). Burning characteristics of western conifer needles.</w:t>
      </w:r>
      <w:r>
        <w:t xml:space="preserve"> </w:t>
      </w:r>
      <w:r>
        <w:rPr>
          <w:iCs/>
          <w:i/>
        </w:rPr>
        <w:t xml:space="preserve">Northwest Science (USA)</w:t>
      </w:r>
      <w:r>
        <w:t xml:space="preserve">,</w:t>
      </w:r>
      <w:r>
        <w:t xml:space="preserve"> </w:t>
      </w:r>
      <w:r>
        <w:rPr>
          <w:iCs/>
          <w:i/>
        </w:rPr>
        <w:t xml:space="preserve">72</w:t>
      </w:r>
      <w:r>
        <w:t xml:space="preserve">(1), 1–9.</w:t>
      </w:r>
    </w:p>
    <w:bookmarkEnd w:id="177"/>
    <w:bookmarkStart w:id="179" w:name="Xaa2cb5831288c2e210ed5c6650e7db540b5f536"/>
    <w:p>
      <w:pPr>
        <w:pStyle w:val="Bibliography"/>
      </w:pPr>
      <w:r>
        <w:t xml:space="preserve">Forrester, J. A., Lorimer, C. G., Dyer, J. H., Gower, S. T., &amp; Mladenoff, D. J. (2014). Response of tree regeneration to experimental gap creation and deer herbivory in north temperate forests.</w:t>
      </w:r>
      <w:r>
        <w:t xml:space="preserve"> </w:t>
      </w:r>
      <w:r>
        <w:rPr>
          <w:iCs/>
          <w:i/>
        </w:rPr>
        <w:t xml:space="preserve">Forest Ecology and Management</w:t>
      </w:r>
      <w:r>
        <w:t xml:space="preserve">,</w:t>
      </w:r>
      <w:r>
        <w:t xml:space="preserve"> </w:t>
      </w:r>
      <w:r>
        <w:rPr>
          <w:iCs/>
          <w:i/>
        </w:rPr>
        <w:t xml:space="preserve">329</w:t>
      </w:r>
      <w:r>
        <w:t xml:space="preserve">, 137–147.</w:t>
      </w:r>
      <w:r>
        <w:t xml:space="preserve"> </w:t>
      </w:r>
      <w:hyperlink r:id="rId178">
        <w:r>
          <w:rPr>
            <w:rStyle w:val="Hyperlink"/>
          </w:rPr>
          <w:t xml:space="preserve">https://doi.org/10.1016/j.foreco.2014.06.025</w:t>
        </w:r>
      </w:hyperlink>
    </w:p>
    <w:bookmarkEnd w:id="179"/>
    <w:bookmarkStart w:id="181" w:name="ref-fryerNotholithocarpusDensiflorus2008"/>
    <w:p>
      <w:pPr>
        <w:pStyle w:val="Bibliography"/>
      </w:pPr>
      <w:r>
        <w:t xml:space="preserve">Fryer, J. L. (2008).</w:t>
      </w:r>
      <w:r>
        <w:t xml:space="preserve"> </w:t>
      </w:r>
      <w:r>
        <w:rPr>
          <w:iCs/>
          <w:i/>
        </w:rPr>
        <w:t xml:space="preserve">Notholithocarpus densiflorus</w:t>
      </w:r>
      <w:r>
        <w:t xml:space="preserve">. U.S. Department of Agriculture, Forest Service, Rocky Mountain Research Station, Fire Sciences Laboratory.</w:t>
      </w:r>
      <w:r>
        <w:t xml:space="preserve"> </w:t>
      </w:r>
      <w:hyperlink r:id="rId180">
        <w:r>
          <w:rPr>
            <w:rStyle w:val="Hyperlink"/>
          </w:rPr>
          <w:t xml:space="preserve">https://www.fs.usda.gov/database/feis/plants/tree/notden/all.html</w:t>
        </w:r>
      </w:hyperlink>
    </w:p>
    <w:bookmarkEnd w:id="181"/>
    <w:bookmarkStart w:id="183" w:name="ref-gangiFIREMONDatabaseUser2006"/>
    <w:p>
      <w:pPr>
        <w:pStyle w:val="Bibliography"/>
      </w:pPr>
      <w:r>
        <w:t xml:space="preserve">Gangi, L. J. (2006).</w:t>
      </w:r>
      <w:r>
        <w:t xml:space="preserve"> </w:t>
      </w:r>
      <w:r>
        <w:rPr>
          <w:iCs/>
          <w:i/>
        </w:rPr>
        <w:t xml:space="preserve">FIREMON</w:t>
      </w:r>
      <w:r>
        <w:rPr>
          <w:iCs/>
          <w:i/>
        </w:rPr>
        <w:t xml:space="preserve"> </w:t>
      </w:r>
      <w:r>
        <w:rPr>
          <w:iCs/>
          <w:i/>
        </w:rPr>
        <w:t xml:space="preserve">database user manual</w:t>
      </w:r>
      <w:r>
        <w:t xml:space="preserve"> </w:t>
      </w:r>
      <w:r>
        <w:t xml:space="preserve">(RMRS-GTR-164; pp. RMRS-GTR-164). U.S. Department of Agriculture, Forest Service, Rocky Mountain Research Station.</w:t>
      </w:r>
      <w:r>
        <w:t xml:space="preserve"> </w:t>
      </w:r>
      <w:hyperlink r:id="rId182">
        <w:r>
          <w:rPr>
            <w:rStyle w:val="Hyperlink"/>
          </w:rPr>
          <w:t xml:space="preserve">https://doi.org/10.2737/RMRS-GTR-164</w:t>
        </w:r>
      </w:hyperlink>
    </w:p>
    <w:bookmarkEnd w:id="183"/>
    <w:bookmarkStart w:id="185" w:name="ref-gardinerDevelopmentWaterOak1997"/>
    <w:p>
      <w:pPr>
        <w:pStyle w:val="Bibliography"/>
      </w:pPr>
      <w:r>
        <w:t xml:space="preserve">Gardiner, E. S., &amp; Helmig, L. M. (1997). Development of water oak stump sprouts under a partial overstory.</w:t>
      </w:r>
      <w:r>
        <w:t xml:space="preserve"> </w:t>
      </w:r>
      <w:r>
        <w:rPr>
          <w:iCs/>
          <w:i/>
        </w:rPr>
        <w:t xml:space="preserve">New Forests</w:t>
      </w:r>
      <w:r>
        <w:t xml:space="preserve">,</w:t>
      </w:r>
      <w:r>
        <w:t xml:space="preserve"> </w:t>
      </w:r>
      <w:r>
        <w:rPr>
          <w:iCs/>
          <w:i/>
        </w:rPr>
        <w:t xml:space="preserve">14</w:t>
      </w:r>
      <w:r>
        <w:t xml:space="preserve">(1), 55–62.</w:t>
      </w:r>
      <w:r>
        <w:t xml:space="preserve"> </w:t>
      </w:r>
      <w:hyperlink r:id="rId184">
        <w:r>
          <w:rPr>
            <w:rStyle w:val="Hyperlink"/>
          </w:rPr>
          <w:t xml:space="preserve">https://doi.org/10.1023/A:1006502107495</w:t>
        </w:r>
      </w:hyperlink>
    </w:p>
    <w:bookmarkEnd w:id="185"/>
    <w:bookmarkStart w:id="187" w:name="ref-glebockiFuelLoadingMoisture2015"/>
    <w:p>
      <w:pPr>
        <w:pStyle w:val="Bibliography"/>
      </w:pPr>
      <w:r>
        <w:t xml:space="preserve">Glebocki, R. (2015).</w:t>
      </w:r>
      <w:r>
        <w:t xml:space="preserve"> </w:t>
      </w:r>
      <w:r>
        <w:rPr>
          <w:iCs/>
          <w:i/>
        </w:rPr>
        <w:t xml:space="preserve">Fuel loading and moisture dynamics in thinned coast redwood–</w:t>
      </w:r>
      <w:r>
        <w:rPr>
          <w:iCs/>
          <w:i/>
        </w:rPr>
        <w:t xml:space="preserve">Douglas-fir</w:t>
      </w:r>
      <w:r>
        <w:rPr>
          <w:iCs/>
          <w:i/>
        </w:rPr>
        <w:t xml:space="preserve"> </w:t>
      </w:r>
      <w:r>
        <w:rPr>
          <w:iCs/>
          <w:i/>
        </w:rPr>
        <w:t xml:space="preserve">forests in</w:t>
      </w:r>
      <w:r>
        <w:rPr>
          <w:iCs/>
          <w:i/>
        </w:rPr>
        <w:t xml:space="preserve"> </w:t>
      </w:r>
      <w:r>
        <w:rPr>
          <w:iCs/>
          <w:i/>
        </w:rPr>
        <w:t xml:space="preserve">Headwaters Forest Reserve</w:t>
      </w:r>
      <w:r>
        <w:rPr>
          <w:iCs/>
          <w:i/>
        </w:rPr>
        <w:t xml:space="preserve">,</w:t>
      </w:r>
      <w:r>
        <w:rPr>
          <w:iCs/>
          <w:i/>
        </w:rPr>
        <w:t xml:space="preserve"> </w:t>
      </w:r>
      <w:r>
        <w:rPr>
          <w:iCs/>
          <w:i/>
        </w:rPr>
        <w:t xml:space="preserve">California</w:t>
      </w:r>
      <w:r>
        <w:t xml:space="preserve"> </w:t>
      </w:r>
      <w:r>
        <w:t xml:space="preserve">[Master’s thesis, Humboldt State University].</w:t>
      </w:r>
      <w:r>
        <w:t xml:space="preserve"> </w:t>
      </w:r>
      <w:hyperlink r:id="rId186">
        <w:r>
          <w:rPr>
            <w:rStyle w:val="Hyperlink"/>
          </w:rPr>
          <w:t xml:space="preserve">https://scholarworks.calstate.edu/concern/theses/ws859j014</w:t>
        </w:r>
      </w:hyperlink>
    </w:p>
    <w:bookmarkEnd w:id="187"/>
    <w:bookmarkStart w:id="189" w:name="ref-gouldModelingSproutoriginOak2007"/>
    <w:p>
      <w:pPr>
        <w:pStyle w:val="Bibliography"/>
      </w:pPr>
      <w:r>
        <w:t xml:space="preserve">Gould, P. J., Fei, S., &amp; Steiner, K. C. (2007). Modeling sprout-origin oak regeneration in the central</w:t>
      </w:r>
      <w:r>
        <w:t xml:space="preserve"> </w:t>
      </w:r>
      <w:r>
        <w:t xml:space="preserve">Appalachians</w:t>
      </w:r>
      <w:r>
        <w:t xml:space="preserve">.</w:t>
      </w:r>
      <w:r>
        <w:t xml:space="preserve"> </w:t>
      </w:r>
      <w:r>
        <w:rPr>
          <w:iCs/>
          <w:i/>
        </w:rPr>
        <w:t xml:space="preserve">Canadian Journal of Forest Research</w:t>
      </w:r>
      <w:r>
        <w:t xml:space="preserve">,</w:t>
      </w:r>
      <w:r>
        <w:t xml:space="preserve"> </w:t>
      </w:r>
      <w:r>
        <w:rPr>
          <w:iCs/>
          <w:i/>
        </w:rPr>
        <w:t xml:space="preserve">37</w:t>
      </w:r>
      <w:r>
        <w:t xml:space="preserve">(1), 170–177.</w:t>
      </w:r>
      <w:r>
        <w:t xml:space="preserve"> </w:t>
      </w:r>
      <w:hyperlink r:id="rId188">
        <w:r>
          <w:rPr>
            <w:rStyle w:val="Hyperlink"/>
          </w:rPr>
          <w:t xml:space="preserve">https://doi.org/10.1139/x06-206</w:t>
        </w:r>
      </w:hyperlink>
    </w:p>
    <w:bookmarkEnd w:id="189"/>
    <w:bookmarkStart w:id="190" w:name="ref-grahamStructureDownedWoody2009"/>
    <w:p>
      <w:pPr>
        <w:pStyle w:val="Bibliography"/>
      </w:pPr>
      <w:r>
        <w:t xml:space="preserve">Graham, B. D. (2009).</w:t>
      </w:r>
      <w:r>
        <w:t xml:space="preserve"> </w:t>
      </w:r>
      <w:r>
        <w:rPr>
          <w:iCs/>
          <w:i/>
        </w:rPr>
        <w:t xml:space="preserve">Structure of downed woody and vegetative detritus in old-growth</w:t>
      </w:r>
      <w:r>
        <w:rPr>
          <w:iCs/>
          <w:i/>
        </w:rPr>
        <w:t xml:space="preserve"> </w:t>
      </w:r>
      <w:r>
        <w:rPr>
          <w:iCs/>
          <w:i/>
        </w:rPr>
        <w:t xml:space="preserve">Sequoia</w:t>
      </w:r>
      <w:r>
        <w:rPr>
          <w:iCs/>
          <w:i/>
        </w:rPr>
        <w:t xml:space="preserve"> </w:t>
      </w:r>
      <w:r>
        <w:rPr>
          <w:iCs/>
          <w:i/>
        </w:rPr>
        <w:t xml:space="preserve">sempervirens forests</w:t>
      </w:r>
      <w:r>
        <w:t xml:space="preserve"> </w:t>
      </w:r>
      <w:r>
        <w:t xml:space="preserve">[MS thesis]. Humboldt State University.</w:t>
      </w:r>
    </w:p>
    <w:bookmarkEnd w:id="190"/>
    <w:bookmarkStart w:id="192" w:name="ref-greenleeVegetationFireHistory1983"/>
    <w:p>
      <w:pPr>
        <w:pStyle w:val="Bibliography"/>
      </w:pPr>
      <w:r>
        <w:t xml:space="preserve">Greenlee, J. M. (1983).</w:t>
      </w:r>
      <w:r>
        <w:t xml:space="preserve"> </w:t>
      </w:r>
      <w:r>
        <w:rPr>
          <w:iCs/>
          <w:i/>
        </w:rPr>
        <w:t xml:space="preserve">Vegetation, fire history, and fire potential of</w:t>
      </w:r>
      <w:r>
        <w:rPr>
          <w:iCs/>
          <w:i/>
        </w:rPr>
        <w:t xml:space="preserve"> </w:t>
      </w:r>
      <w:r>
        <w:rPr>
          <w:iCs/>
          <w:i/>
        </w:rPr>
        <w:t xml:space="preserve">Big Basin Redwoods State Park</w:t>
      </w:r>
      <w:r>
        <w:rPr>
          <w:iCs/>
          <w:i/>
        </w:rPr>
        <w:t xml:space="preserve">,</w:t>
      </w:r>
      <w:r>
        <w:rPr>
          <w:iCs/>
          <w:i/>
        </w:rPr>
        <w:t xml:space="preserve"> </w:t>
      </w:r>
      <w:r>
        <w:rPr>
          <w:iCs/>
          <w:i/>
        </w:rPr>
        <w:t xml:space="preserve">California</w:t>
      </w:r>
      <w:r>
        <w:t xml:space="preserve"> </w:t>
      </w:r>
      <w:r>
        <w:t xml:space="preserve">[PhD thesis, University of California, Santa Cruz].</w:t>
      </w:r>
      <w:r>
        <w:t xml:space="preserve"> </w:t>
      </w:r>
      <w:hyperlink r:id="rId191">
        <w:r>
          <w:rPr>
            <w:rStyle w:val="Hyperlink"/>
          </w:rPr>
          <w:t xml:space="preserve">https://www.elibrary.ru/item.asp?id=7397149</w:t>
        </w:r>
      </w:hyperlink>
    </w:p>
    <w:bookmarkEnd w:id="192"/>
    <w:bookmarkStart w:id="194" w:name="ref-hanProductivityCostWholetree2020"/>
    <w:p>
      <w:pPr>
        <w:pStyle w:val="Bibliography"/>
      </w:pPr>
      <w:r>
        <w:t xml:space="preserve">Han, S.-K., &amp; Han, H.-S. (2020). Productivity and cost of whole-tree and tree-length harvesting in fuel reduction thinning treatments using cable yarding systems.</w:t>
      </w:r>
      <w:r>
        <w:t xml:space="preserve"> </w:t>
      </w:r>
      <w:r>
        <w:rPr>
          <w:iCs/>
          <w:i/>
        </w:rPr>
        <w:t xml:space="preserve">Forest Science and Technology</w:t>
      </w:r>
      <w:r>
        <w:t xml:space="preserve">.</w:t>
      </w:r>
      <w:r>
        <w:t xml:space="preserve"> </w:t>
      </w:r>
      <w:hyperlink r:id="rId193">
        <w:r>
          <w:rPr>
            <w:rStyle w:val="Hyperlink"/>
          </w:rPr>
          <w:t xml:space="preserve">https://www.tandfonline.com/doi/abs/10.1080/21580103.2020.1712264</w:t>
        </w:r>
      </w:hyperlink>
    </w:p>
    <w:bookmarkEnd w:id="194"/>
    <w:bookmarkStart w:id="196" w:name="ref-harringtonPredictingCrownSizes1992"/>
    <w:p>
      <w:pPr>
        <w:pStyle w:val="Bibliography"/>
      </w:pPr>
      <w:r>
        <w:t xml:space="preserve">Harrington, T. B., Tappeiner, J. C., II, &amp; Warbington, R. (1992). Predicting crown sizes and diameter distributions of tanoak, pacific madrone, and giant chinkapin sprout clumps.</w:t>
      </w:r>
      <w:r>
        <w:t xml:space="preserve"> </w:t>
      </w:r>
      <w:r>
        <w:rPr>
          <w:iCs/>
          <w:i/>
        </w:rPr>
        <w:t xml:space="preserve">Western Journal of Applied Forestry</w:t>
      </w:r>
      <w:r>
        <w:t xml:space="preserve">,</w:t>
      </w:r>
      <w:r>
        <w:t xml:space="preserve"> </w:t>
      </w:r>
      <w:r>
        <w:rPr>
          <w:iCs/>
          <w:i/>
        </w:rPr>
        <w:t xml:space="preserve">7</w:t>
      </w:r>
      <w:r>
        <w:t xml:space="preserve">(4), 103–108.</w:t>
      </w:r>
      <w:r>
        <w:t xml:space="preserve"> </w:t>
      </w:r>
      <w:hyperlink r:id="rId195">
        <w:r>
          <w:rPr>
            <w:rStyle w:val="Hyperlink"/>
          </w:rPr>
          <w:t xml:space="preserve">https://doi.org/10.1093/wjaf/7.4.103</w:t>
        </w:r>
      </w:hyperlink>
    </w:p>
    <w:bookmarkEnd w:id="196"/>
    <w:bookmarkStart w:id="198" w:name="ref-hartigDHARMaResidualDiagnostics2022"/>
    <w:p>
      <w:pPr>
        <w:pStyle w:val="Bibliography"/>
      </w:pPr>
      <w:r>
        <w:t xml:space="preserve">Hartig, F. (2022).</w:t>
      </w:r>
      <w:r>
        <w:t xml:space="preserve"> </w:t>
      </w:r>
      <w:r>
        <w:rPr>
          <w:iCs/>
          <w:i/>
        </w:rPr>
        <w:t xml:space="preserve">DHARMa</w:t>
      </w:r>
      <w:r>
        <w:rPr>
          <w:iCs/>
          <w:i/>
        </w:rPr>
        <w:t xml:space="preserve">:</w:t>
      </w:r>
      <w:r>
        <w:rPr>
          <w:iCs/>
          <w:i/>
        </w:rPr>
        <w:t xml:space="preserve"> </w:t>
      </w:r>
      <w:r>
        <w:rPr>
          <w:iCs/>
          <w:i/>
        </w:rPr>
        <w:t xml:space="preserve">Residual</w:t>
      </w:r>
      <w:r>
        <w:rPr>
          <w:iCs/>
          <w:i/>
        </w:rPr>
        <w:t xml:space="preserve"> </w:t>
      </w:r>
      <w:r>
        <w:rPr>
          <w:iCs/>
          <w:i/>
        </w:rPr>
        <w:t xml:space="preserve">diagnostics for hierarchical (multi-level / mixed) regression models</w:t>
      </w:r>
      <w:r>
        <w:t xml:space="preserve"> </w:t>
      </w:r>
      <w:r>
        <w:t xml:space="preserve">[Manual].</w:t>
      </w:r>
      <w:r>
        <w:t xml:space="preserve"> </w:t>
      </w:r>
      <w:hyperlink r:id="rId197">
        <w:r>
          <w:rPr>
            <w:rStyle w:val="Hyperlink"/>
          </w:rPr>
          <w:t xml:space="preserve">https://CRAN.R-project.org/package=DHARMa</w:t>
        </w:r>
      </w:hyperlink>
    </w:p>
    <w:bookmarkEnd w:id="198"/>
    <w:bookmarkStart w:id="200" w:name="ref-hoodFuelTreatmentLongevity2020"/>
    <w:p>
      <w:pPr>
        <w:pStyle w:val="Bibliography"/>
      </w:pPr>
      <w:r>
        <w:t xml:space="preserve">Hood, S. M., Keyes, C. R., Bowen, K. J., Lutes, D. C., &amp; Seielstad, C. (2020). Fuel treatment longevity in ponderosa pine-dominated forest 24 years after cutting and prescribed burning.</w:t>
      </w:r>
      <w:r>
        <w:t xml:space="preserve"> </w:t>
      </w:r>
      <w:r>
        <w:rPr>
          <w:iCs/>
          <w:i/>
        </w:rPr>
        <w:t xml:space="preserve">Frontiers in Forests and Global Change</w:t>
      </w:r>
      <w:r>
        <w:t xml:space="preserve">,</w:t>
      </w:r>
      <w:r>
        <w:t xml:space="preserve"> </w:t>
      </w:r>
      <w:r>
        <w:rPr>
          <w:iCs/>
          <w:i/>
        </w:rPr>
        <w:t xml:space="preserve">3</w:t>
      </w:r>
      <w:r>
        <w:t xml:space="preserve">.</w:t>
      </w:r>
      <w:r>
        <w:t xml:space="preserve"> </w:t>
      </w:r>
      <w:hyperlink r:id="rId199">
        <w:r>
          <w:rPr>
            <w:rStyle w:val="Hyperlink"/>
          </w:rPr>
          <w:t xml:space="preserve">https://www.frontiersin.org/articles/10.3389/ffgc.2020.00078</w:t>
        </w:r>
      </w:hyperlink>
    </w:p>
    <w:bookmarkEnd w:id="200"/>
    <w:bookmarkStart w:id="201" w:name="ref-hornAdaptiveGeometryTrees1971"/>
    <w:p>
      <w:pPr>
        <w:pStyle w:val="Bibliography"/>
      </w:pPr>
      <w:r>
        <w:t xml:space="preserve">Horn, H. S. (1971).</w:t>
      </w:r>
      <w:r>
        <w:t xml:space="preserve"> </w:t>
      </w:r>
      <w:r>
        <w:rPr>
          <w:iCs/>
          <w:i/>
        </w:rPr>
        <w:t xml:space="preserve">Adaptive</w:t>
      </w:r>
      <w:r>
        <w:rPr>
          <w:iCs/>
          <w:i/>
        </w:rPr>
        <w:t xml:space="preserve"> </w:t>
      </w:r>
      <w:r>
        <w:rPr>
          <w:iCs/>
          <w:i/>
        </w:rPr>
        <w:t xml:space="preserve">Geometry</w:t>
      </w:r>
      <w:r>
        <w:rPr>
          <w:iCs/>
          <w:i/>
        </w:rPr>
        <w:t xml:space="preserve"> </w:t>
      </w:r>
      <w:r>
        <w:rPr>
          <w:iCs/>
          <w:i/>
        </w:rPr>
        <w:t xml:space="preserve">of</w:t>
      </w:r>
      <w:r>
        <w:rPr>
          <w:iCs/>
          <w:i/>
        </w:rPr>
        <w:t xml:space="preserve"> </w:t>
      </w:r>
      <w:r>
        <w:rPr>
          <w:iCs/>
          <w:i/>
        </w:rPr>
        <w:t xml:space="preserve">Trees</w:t>
      </w:r>
      <w:r>
        <w:t xml:space="preserve">. Princeton University Press.</w:t>
      </w:r>
    </w:p>
    <w:bookmarkEnd w:id="201"/>
    <w:bookmarkStart w:id="203" w:name="ref-jacobsFireHistoryPerpetuation1985"/>
    <w:p>
      <w:pPr>
        <w:pStyle w:val="Bibliography"/>
      </w:pPr>
      <w:r>
        <w:t xml:space="preserve">Jacobs, D. F., Cole, D. W., &amp; McBride, J. R. (1985). Fire history and perpetuation of natural coast redwood ecosystems.</w:t>
      </w:r>
      <w:r>
        <w:t xml:space="preserve"> </w:t>
      </w:r>
      <w:r>
        <w:rPr>
          <w:iCs/>
          <w:i/>
        </w:rPr>
        <w:t xml:space="preserve">Journal of Forestry</w:t>
      </w:r>
      <w:r>
        <w:t xml:space="preserve">,</w:t>
      </w:r>
      <w:r>
        <w:t xml:space="preserve"> </w:t>
      </w:r>
      <w:r>
        <w:rPr>
          <w:iCs/>
          <w:i/>
        </w:rPr>
        <w:t xml:space="preserve">83</w:t>
      </w:r>
      <w:r>
        <w:t xml:space="preserve">(8), 494–497.</w:t>
      </w:r>
      <w:r>
        <w:t xml:space="preserve"> </w:t>
      </w:r>
      <w:hyperlink r:id="rId202">
        <w:r>
          <w:rPr>
            <w:rStyle w:val="Hyperlink"/>
          </w:rPr>
          <w:t xml:space="preserve">https://academic.oup.com/jof/article-abstract/83/8/494/4647048</w:t>
        </w:r>
      </w:hyperlink>
    </w:p>
    <w:bookmarkEnd w:id="203"/>
    <w:bookmarkStart w:id="205" w:name="ref-johnsonPredictingOakStump1977"/>
    <w:p>
      <w:pPr>
        <w:pStyle w:val="Bibliography"/>
      </w:pPr>
      <w:r>
        <w:t xml:space="preserve">Johnson, P. S. (1977).</w:t>
      </w:r>
      <w:r>
        <w:t xml:space="preserve"> </w:t>
      </w:r>
      <w:r>
        <w:rPr>
          <w:iCs/>
          <w:i/>
        </w:rPr>
        <w:t xml:space="preserve">Predicting</w:t>
      </w:r>
      <w:r>
        <w:rPr>
          <w:iCs/>
          <w:i/>
        </w:rPr>
        <w:t xml:space="preserve"> </w:t>
      </w:r>
      <w:r>
        <w:rPr>
          <w:iCs/>
          <w:i/>
        </w:rPr>
        <w:t xml:space="preserve">Oak Stump Sprouting</w:t>
      </w:r>
      <w:r>
        <w:rPr>
          <w:iCs/>
          <w:i/>
        </w:rPr>
        <w:t xml:space="preserve"> </w:t>
      </w:r>
      <w:r>
        <w:rPr>
          <w:iCs/>
          <w:i/>
        </w:rPr>
        <w:t xml:space="preserve">and</w:t>
      </w:r>
      <w:r>
        <w:rPr>
          <w:iCs/>
          <w:i/>
        </w:rPr>
        <w:t xml:space="preserve"> </w:t>
      </w:r>
      <w:r>
        <w:rPr>
          <w:iCs/>
          <w:i/>
        </w:rPr>
        <w:t xml:space="preserve">Sprout Development</w:t>
      </w:r>
      <w:r>
        <w:rPr>
          <w:iCs/>
          <w:i/>
        </w:rPr>
        <w:t xml:space="preserve"> </w:t>
      </w:r>
      <w:r>
        <w:rPr>
          <w:iCs/>
          <w:i/>
        </w:rPr>
        <w:t xml:space="preserve">in the</w:t>
      </w:r>
      <w:r>
        <w:rPr>
          <w:iCs/>
          <w:i/>
        </w:rPr>
        <w:t xml:space="preserve"> </w:t>
      </w:r>
      <w:r>
        <w:rPr>
          <w:iCs/>
          <w:i/>
        </w:rPr>
        <w:t xml:space="preserve">Missouri Ozarks</w:t>
      </w:r>
      <w:r>
        <w:t xml:space="preserve"> </w:t>
      </w:r>
      <w:r>
        <w:t xml:space="preserve">(Research Paper NC-149). Department of Agriculture, Forest Service, North Central Forest Experiment Station.</w:t>
      </w:r>
      <w:r>
        <w:t xml:space="preserve"> </w:t>
      </w:r>
      <w:hyperlink r:id="rId204">
        <w:r>
          <w:rPr>
            <w:rStyle w:val="Hyperlink"/>
          </w:rPr>
          <w:t xml:space="preserve">https://books.google.com?id=x3tw07l1IQQC</w:t>
        </w:r>
      </w:hyperlink>
    </w:p>
    <w:bookmarkEnd w:id="205"/>
    <w:bookmarkStart w:id="207" w:name="ref-keaneBiophysicalControlsSurface2008"/>
    <w:p>
      <w:pPr>
        <w:pStyle w:val="Bibliography"/>
      </w:pPr>
      <w:r>
        <w:t xml:space="preserve">Keane, R. E. (2008). Biophysical controls on surface fuel litterfall and decomposition in the northern</w:t>
      </w:r>
      <w:r>
        <w:t xml:space="preserve"> </w:t>
      </w:r>
      <w:r>
        <w:t xml:space="preserve">Rocky Mountains</w:t>
      </w:r>
      <w:r>
        <w:t xml:space="preserve">,</w:t>
      </w:r>
      <w:r>
        <w:t xml:space="preserve"> </w:t>
      </w:r>
      <w:r>
        <w:t xml:space="preserve">USA</w:t>
      </w:r>
      <w:r>
        <w:t xml:space="preserve">.</w:t>
      </w:r>
      <w:r>
        <w:t xml:space="preserve"> </w:t>
      </w:r>
      <w:r>
        <w:rPr>
          <w:iCs/>
          <w:i/>
        </w:rPr>
        <w:t xml:space="preserve">Canadian Journal of Forest Research</w:t>
      </w:r>
      <w:r>
        <w:t xml:space="preserve">,</w:t>
      </w:r>
      <w:r>
        <w:t xml:space="preserve"> </w:t>
      </w:r>
      <w:r>
        <w:rPr>
          <w:iCs/>
          <w:i/>
        </w:rPr>
        <w:t xml:space="preserve">38</w:t>
      </w:r>
      <w:r>
        <w:t xml:space="preserve">(6), 1431–1445.</w:t>
      </w:r>
      <w:r>
        <w:t xml:space="preserve"> </w:t>
      </w:r>
      <w:hyperlink r:id="rId206">
        <w:r>
          <w:rPr>
            <w:rStyle w:val="Hyperlink"/>
          </w:rPr>
          <w:t xml:space="preserve">https://doi.org/10.1139/X08-003</w:t>
        </w:r>
      </w:hyperlink>
    </w:p>
    <w:bookmarkEnd w:id="207"/>
    <w:bookmarkStart w:id="208" w:name="X3d621bc1bef364e271470e60178ad7fea6d886a"/>
    <w:p>
      <w:pPr>
        <w:pStyle w:val="Bibliography"/>
      </w:pPr>
      <w:r>
        <w:t xml:space="preserve">Keyes, C. R., &amp; Varner, J. M. (2006). Pitfalls in the</w:t>
      </w:r>
      <w:r>
        <w:t xml:space="preserve"> </w:t>
      </w:r>
      <w:r>
        <w:t xml:space="preserve">Silvicultural Treatment</w:t>
      </w:r>
      <w:r>
        <w:t xml:space="preserve"> </w:t>
      </w:r>
      <w:r>
        <w:t xml:space="preserve">of</w:t>
      </w:r>
      <w:r>
        <w:t xml:space="preserve"> </w:t>
      </w:r>
      <w:r>
        <w:t xml:space="preserve">Canopy Fuels</w:t>
      </w:r>
      <w:r>
        <w:t xml:space="preserve">.</w:t>
      </w:r>
      <w:r>
        <w:t xml:space="preserve"> </w:t>
      </w:r>
      <w:r>
        <w:rPr>
          <w:iCs/>
          <w:i/>
        </w:rPr>
        <w:t xml:space="preserve">Fire Management Today</w:t>
      </w:r>
      <w:r>
        <w:t xml:space="preserve">,</w:t>
      </w:r>
      <w:r>
        <w:t xml:space="preserve"> </w:t>
      </w:r>
      <w:r>
        <w:rPr>
          <w:iCs/>
          <w:i/>
        </w:rPr>
        <w:t xml:space="preserve">66</w:t>
      </w:r>
      <w:r>
        <w:t xml:space="preserve">(3).</w:t>
      </w:r>
    </w:p>
    <w:bookmarkEnd w:id="208"/>
    <w:bookmarkStart w:id="210" w:name="ref-keyserStumpSprouting192015"/>
    <w:p>
      <w:pPr>
        <w:pStyle w:val="Bibliography"/>
      </w:pPr>
      <w:r>
        <w:t xml:space="preserve">Keyser, T. L., &amp; Loftis, D. L. (2015). Stump sprouting of 19 upland hardwood species 1 year following initiation of a shelterwood with reserves silvicultural system in the southern</w:t>
      </w:r>
      <w:r>
        <w:t xml:space="preserve"> </w:t>
      </w:r>
      <w:r>
        <w:t xml:space="preserve">Appalachian Mountains</w:t>
      </w:r>
      <w:r>
        <w:t xml:space="preserve">,</w:t>
      </w:r>
      <w:r>
        <w:t xml:space="preserve"> </w:t>
      </w:r>
      <w:r>
        <w:t xml:space="preserve">USA</w:t>
      </w:r>
      <w:r>
        <w:t xml:space="preserve">.</w:t>
      </w:r>
      <w:r>
        <w:t xml:space="preserve"> </w:t>
      </w:r>
      <w:r>
        <w:rPr>
          <w:iCs/>
          <w:i/>
        </w:rPr>
        <w:t xml:space="preserve">New Forests</w:t>
      </w:r>
      <w:r>
        <w:t xml:space="preserve">,</w:t>
      </w:r>
      <w:r>
        <w:t xml:space="preserve"> </w:t>
      </w:r>
      <w:r>
        <w:rPr>
          <w:iCs/>
          <w:i/>
        </w:rPr>
        <w:t xml:space="preserve">46</w:t>
      </w:r>
      <w:r>
        <w:t xml:space="preserve">(3), 449–464.</w:t>
      </w:r>
      <w:r>
        <w:t xml:space="preserve"> </w:t>
      </w:r>
      <w:hyperlink r:id="rId209">
        <w:r>
          <w:rPr>
            <w:rStyle w:val="Hyperlink"/>
          </w:rPr>
          <w:t xml:space="preserve">https://doi.org/10.1007/s11056-015-9470-z</w:t>
        </w:r>
      </w:hyperlink>
    </w:p>
    <w:bookmarkEnd w:id="210"/>
    <w:bookmarkStart w:id="212" w:name="ref-keyserStumpSproutDynamics2014"/>
    <w:p>
      <w:pPr>
        <w:pStyle w:val="Bibliography"/>
      </w:pPr>
      <w:r>
        <w:t xml:space="preserve">Keyser, T. L., &amp; Zarnoch, S. J. (2014). Stump sprout dynamics in response to reductions in stand density for nine upland hardwood species in the southern</w:t>
      </w:r>
      <w:r>
        <w:t xml:space="preserve"> </w:t>
      </w:r>
      <w:r>
        <w:t xml:space="preserve">Appalachian Mountains</w:t>
      </w:r>
      <w:r>
        <w:t xml:space="preserve">.</w:t>
      </w:r>
      <w:r>
        <w:t xml:space="preserve"> </w:t>
      </w:r>
      <w:r>
        <w:rPr>
          <w:iCs/>
          <w:i/>
        </w:rPr>
        <w:t xml:space="preserve">Forest Ecology and Management</w:t>
      </w:r>
      <w:r>
        <w:t xml:space="preserve">,</w:t>
      </w:r>
      <w:r>
        <w:t xml:space="preserve"> </w:t>
      </w:r>
      <w:r>
        <w:rPr>
          <w:iCs/>
          <w:i/>
        </w:rPr>
        <w:t xml:space="preserve">319</w:t>
      </w:r>
      <w:r>
        <w:t xml:space="preserve">, 29–35.</w:t>
      </w:r>
      <w:r>
        <w:t xml:space="preserve"> </w:t>
      </w:r>
      <w:hyperlink r:id="rId211">
        <w:r>
          <w:rPr>
            <w:rStyle w:val="Hyperlink"/>
          </w:rPr>
          <w:t xml:space="preserve">https://doi.org/10.1016/j.foreco.2014.01.045</w:t>
        </w:r>
      </w:hyperlink>
    </w:p>
    <w:bookmarkEnd w:id="212"/>
    <w:bookmarkStart w:id="214" w:name="ref-kittredgeComparisonForestFloors1940"/>
    <w:p>
      <w:pPr>
        <w:pStyle w:val="Bibliography"/>
      </w:pPr>
      <w:r>
        <w:t xml:space="preserve">Kittredge, J. (1940). A comparison of forest floors from plantations of the same age and environment.</w:t>
      </w:r>
      <w:r>
        <w:t xml:space="preserve"> </w:t>
      </w:r>
      <w:r>
        <w:rPr>
          <w:iCs/>
          <w:i/>
        </w:rPr>
        <w:t xml:space="preserve">Journal of Forestry</w:t>
      </w:r>
      <w:r>
        <w:t xml:space="preserve">,</w:t>
      </w:r>
      <w:r>
        <w:t xml:space="preserve"> </w:t>
      </w:r>
      <w:r>
        <w:rPr>
          <w:iCs/>
          <w:i/>
        </w:rPr>
        <w:t xml:space="preserve">38</w:t>
      </w:r>
      <w:r>
        <w:t xml:space="preserve">(9), 729–731.</w:t>
      </w:r>
      <w:r>
        <w:t xml:space="preserve"> </w:t>
      </w:r>
      <w:hyperlink r:id="rId213">
        <w:r>
          <w:rPr>
            <w:rStyle w:val="Hyperlink"/>
          </w:rPr>
          <w:t xml:space="preserve">https://doi.org/10.1093/jof/38.9.729</w:t>
        </w:r>
      </w:hyperlink>
    </w:p>
    <w:bookmarkEnd w:id="214"/>
    <w:bookmarkStart w:id="216" w:name="ref-knappEarlyStumpSprout2017"/>
    <w:p>
      <w:pPr>
        <w:pStyle w:val="Bibliography"/>
      </w:pPr>
      <w:r>
        <w:t xml:space="preserve">Knapp, B. O., Olson, M. G., &amp; Dey, D. C. (2017). Early</w:t>
      </w:r>
      <w:r>
        <w:t xml:space="preserve"> </w:t>
      </w:r>
      <w:r>
        <w:t xml:space="preserve">Stump Sprout Development</w:t>
      </w:r>
      <w:r>
        <w:t xml:space="preserve"> </w:t>
      </w:r>
      <w:r>
        <w:t xml:space="preserve">after</w:t>
      </w:r>
      <w:r>
        <w:t xml:space="preserve"> </w:t>
      </w:r>
      <w:r>
        <w:t xml:space="preserve">Two Levels</w:t>
      </w:r>
      <w:r>
        <w:t xml:space="preserve"> </w:t>
      </w:r>
      <w:r>
        <w:t xml:space="preserve">of</w:t>
      </w:r>
      <w:r>
        <w:t xml:space="preserve"> </w:t>
      </w:r>
      <w:r>
        <w:t xml:space="preserve">Harvest</w:t>
      </w:r>
      <w:r>
        <w:t xml:space="preserve"> </w:t>
      </w:r>
      <w:r>
        <w:t xml:space="preserve">in a</w:t>
      </w:r>
      <w:r>
        <w:t xml:space="preserve"> </w:t>
      </w:r>
      <w:r>
        <w:t xml:space="preserve">Midwestern Bottomland Hardwood Forest</w:t>
      </w:r>
      <w:r>
        <w:t xml:space="preserve">.</w:t>
      </w:r>
      <w:r>
        <w:t xml:space="preserve"> </w:t>
      </w:r>
      <w:r>
        <w:rPr>
          <w:iCs/>
          <w:i/>
        </w:rPr>
        <w:t xml:space="preserve">Forest Science</w:t>
      </w:r>
      <w:r>
        <w:t xml:space="preserve">,</w:t>
      </w:r>
      <w:r>
        <w:t xml:space="preserve"> </w:t>
      </w:r>
      <w:r>
        <w:rPr>
          <w:iCs/>
          <w:i/>
        </w:rPr>
        <w:t xml:space="preserve">63</w:t>
      </w:r>
      <w:r>
        <w:t xml:space="preserve">(4), 377–387.</w:t>
      </w:r>
      <w:r>
        <w:t xml:space="preserve"> </w:t>
      </w:r>
      <w:hyperlink r:id="rId215">
        <w:r>
          <w:rPr>
            <w:rStyle w:val="Hyperlink"/>
          </w:rPr>
          <w:t xml:space="preserve">https://doi.org/10.5849/FS-2016-029R2</w:t>
        </w:r>
      </w:hyperlink>
    </w:p>
    <w:bookmarkEnd w:id="216"/>
    <w:bookmarkStart w:id="218" w:name="ref-kuljianEffectsSuddenOak2010"/>
    <w:p>
      <w:pPr>
        <w:pStyle w:val="Bibliography"/>
      </w:pPr>
      <w:r>
        <w:t xml:space="preserve">Kuljian, H., &amp; Varner, J. M. (2010). The effects of sudden oak death on foliar moisture content and crown fire potential in tanoak.</w:t>
      </w:r>
      <w:r>
        <w:t xml:space="preserve"> </w:t>
      </w:r>
      <w:r>
        <w:rPr>
          <w:iCs/>
          <w:i/>
        </w:rPr>
        <w:t xml:space="preserve">Forest Ecology and Management</w:t>
      </w:r>
      <w:r>
        <w:t xml:space="preserve">,</w:t>
      </w:r>
      <w:r>
        <w:t xml:space="preserve"> </w:t>
      </w:r>
      <w:r>
        <w:rPr>
          <w:iCs/>
          <w:i/>
        </w:rPr>
        <w:t xml:space="preserve">259</w:t>
      </w:r>
      <w:r>
        <w:t xml:space="preserve">(10), 2103–2110.</w:t>
      </w:r>
      <w:r>
        <w:t xml:space="preserve"> </w:t>
      </w:r>
      <w:hyperlink r:id="rId217">
        <w:r>
          <w:rPr>
            <w:rStyle w:val="Hyperlink"/>
          </w:rPr>
          <w:t xml:space="preserve">https://doi.org/10.1016/j.foreco.2010.02.022</w:t>
        </w:r>
      </w:hyperlink>
    </w:p>
    <w:bookmarkEnd w:id="218"/>
    <w:bookmarkStart w:id="220" w:name="ref-lenthEmmeansEstimatedMarginal2021"/>
    <w:p>
      <w:pPr>
        <w:pStyle w:val="Bibliography"/>
      </w:pPr>
      <w:r>
        <w:t xml:space="preserve">Lenth, R. V. (2021).</w:t>
      </w:r>
      <w:r>
        <w:t xml:space="preserve"> </w:t>
      </w:r>
      <w:r>
        <w:rPr>
          <w:iCs/>
          <w:i/>
        </w:rPr>
        <w:t xml:space="preserve">Emmeans:</w:t>
      </w:r>
      <w:r>
        <w:rPr>
          <w:iCs/>
          <w:i/>
        </w:rPr>
        <w:t xml:space="preserve"> </w:t>
      </w:r>
      <w:r>
        <w:rPr>
          <w:iCs/>
          <w:i/>
        </w:rPr>
        <w:t xml:space="preserve">Estimated</w:t>
      </w:r>
      <w:r>
        <w:rPr>
          <w:iCs/>
          <w:i/>
        </w:rPr>
        <w:t xml:space="preserve"> </w:t>
      </w:r>
      <w:r>
        <w:rPr>
          <w:iCs/>
          <w:i/>
        </w:rPr>
        <w:t xml:space="preserve">marginal means, aka least-squares means</w:t>
      </w:r>
      <w:r>
        <w:t xml:space="preserve"> </w:t>
      </w:r>
      <w:r>
        <w:t xml:space="preserve">[Manual].</w:t>
      </w:r>
      <w:r>
        <w:t xml:space="preserve"> </w:t>
      </w:r>
      <w:hyperlink r:id="rId219">
        <w:r>
          <w:rPr>
            <w:rStyle w:val="Hyperlink"/>
          </w:rPr>
          <w:t xml:space="preserve">https://CRAN.R-project.org/package=emmeans</w:t>
        </w:r>
      </w:hyperlink>
    </w:p>
    <w:bookmarkEnd w:id="220"/>
    <w:bookmarkStart w:id="222" w:name="ref-linSaplingGrowthSurvivorship2002"/>
    <w:p>
      <w:pPr>
        <w:pStyle w:val="Bibliography"/>
      </w:pPr>
      <w:r>
        <w:t xml:space="preserve">Lin, J., Harcombe, P. A., Fulton, M. R., &amp; Hall, R. W. (2002). Sapling growth and survivorship as a function of light in a mesic forest of southeast</w:t>
      </w:r>
      <w:r>
        <w:t xml:space="preserve"> </w:t>
      </w:r>
      <w:r>
        <w:t xml:space="preserve">Texas</w:t>
      </w:r>
      <w:r>
        <w:t xml:space="preserve">,</w:t>
      </w:r>
      <w:r>
        <w:t xml:space="preserve"> </w:t>
      </w:r>
      <w:r>
        <w:t xml:space="preserve">USA</w:t>
      </w:r>
      <w:r>
        <w:t xml:space="preserve">.</w:t>
      </w:r>
      <w:r>
        <w:t xml:space="preserve"> </w:t>
      </w:r>
      <w:r>
        <w:rPr>
          <w:iCs/>
          <w:i/>
        </w:rPr>
        <w:t xml:space="preserve">Oecologia</w:t>
      </w:r>
      <w:r>
        <w:t xml:space="preserve">,</w:t>
      </w:r>
      <w:r>
        <w:t xml:space="preserve"> </w:t>
      </w:r>
      <w:r>
        <w:rPr>
          <w:iCs/>
          <w:i/>
        </w:rPr>
        <w:t xml:space="preserve">132</w:t>
      </w:r>
      <w:r>
        <w:t xml:space="preserve">(3), 428–435.</w:t>
      </w:r>
      <w:r>
        <w:t xml:space="preserve"> </w:t>
      </w:r>
      <w:hyperlink r:id="rId221">
        <w:r>
          <w:rPr>
            <w:rStyle w:val="Hyperlink"/>
          </w:rPr>
          <w:t xml:space="preserve">https://doi.org/10.1007/s00442-002-0986-5</w:t>
        </w:r>
      </w:hyperlink>
    </w:p>
    <w:bookmarkEnd w:id="222"/>
    <w:bookmarkStart w:id="224" w:name="Xa92a942cf733ee66767a1277abbf956026a0cee"/>
    <w:p>
      <w:pPr>
        <w:pStyle w:val="Bibliography"/>
      </w:pPr>
      <w:r>
        <w:t xml:space="preserve">Lindquist, J. L. (1979).</w:t>
      </w:r>
      <w:r>
        <w:t xml:space="preserve"> </w:t>
      </w:r>
      <w:r>
        <w:rPr>
          <w:iCs/>
          <w:i/>
        </w:rPr>
        <w:t xml:space="preserve">Sprout regeneration of young-growth redwood: Sampling methods compared</w:t>
      </w:r>
      <w:r>
        <w:t xml:space="preserve"> </w:t>
      </w:r>
      <w:r>
        <w:t xml:space="preserve">(Research Note PSW-337; p. 8).</w:t>
      </w:r>
      <w:r>
        <w:t xml:space="preserve"> </w:t>
      </w:r>
      <w:r>
        <w:t xml:space="preserve">U.S. Department of Agriculture, Forest Service, Pacific Southwest Forest and Range Experiment Station</w:t>
      </w:r>
      <w:r>
        <w:t xml:space="preserve">.</w:t>
      </w:r>
      <w:r>
        <w:t xml:space="preserve"> </w:t>
      </w:r>
      <w:hyperlink r:id="rId223">
        <w:r>
          <w:rPr>
            <w:rStyle w:val="Hyperlink"/>
          </w:rPr>
          <w:t xml:space="preserve">https://www.google.com/books/edition/Sprout_Regeneration_of_Young_growth_Redw/48fMLtW9rRgC</w:t>
        </w:r>
      </w:hyperlink>
    </w:p>
    <w:bookmarkEnd w:id="224"/>
    <w:bookmarkStart w:id="226" w:name="ref-lindquistEmpiricalYieldTables1963"/>
    <w:p>
      <w:pPr>
        <w:pStyle w:val="Bibliography"/>
      </w:pPr>
      <w:r>
        <w:t xml:space="preserve">Lindquist, J. L., &amp; Palley, M. N. (1963).</w:t>
      </w:r>
      <w:r>
        <w:t xml:space="preserve"> </w:t>
      </w:r>
      <w:r>
        <w:rPr>
          <w:iCs/>
          <w:i/>
        </w:rPr>
        <w:t xml:space="preserve">Empirical yield tables for young-growth redwood</w:t>
      </w:r>
      <w:r>
        <w:t xml:space="preserve">. Division of Agricultural Sciences, University of California.</w:t>
      </w:r>
      <w:r>
        <w:t xml:space="preserve"> </w:t>
      </w:r>
      <w:hyperlink r:id="rId225">
        <w:r>
          <w:rPr>
            <w:rStyle w:val="Hyperlink"/>
          </w:rPr>
          <w:t xml:space="preserve">https://catalog.hathitrust.org/Record/010837951</w:t>
        </w:r>
      </w:hyperlink>
    </w:p>
    <w:bookmarkEnd w:id="226"/>
    <w:bookmarkStart w:id="228" w:name="X82594c81dcf1d0f92e7b3c64e334c053ad78121"/>
    <w:p>
      <w:pPr>
        <w:pStyle w:val="Bibliography"/>
      </w:pPr>
      <w:r>
        <w:t xml:space="preserve">Lorimer, C. G., Porter, D. J., Madej, M. A., Stuart, J. D., Veirs, S. D., Norman, S. P., O’Hara, K. L., &amp; Libby, W. J. (2009). Presettlement and modern disturbance regimes in coast redwood forests:</w:t>
      </w:r>
      <w:r>
        <w:t xml:space="preserve"> </w:t>
      </w:r>
      <w:r>
        <w:t xml:space="preserve">Implications</w:t>
      </w:r>
      <w:r>
        <w:t xml:space="preserve"> </w:t>
      </w:r>
      <w:r>
        <w:t xml:space="preserve">for the conservation of old-growth stands.</w:t>
      </w:r>
      <w:r>
        <w:t xml:space="preserve"> </w:t>
      </w:r>
      <w:r>
        <w:rPr>
          <w:iCs/>
          <w:i/>
        </w:rPr>
        <w:t xml:space="preserve">Forest Ecology and Management</w:t>
      </w:r>
      <w:r>
        <w:t xml:space="preserve">,</w:t>
      </w:r>
      <w:r>
        <w:t xml:space="preserve"> </w:t>
      </w:r>
      <w:r>
        <w:rPr>
          <w:iCs/>
          <w:i/>
        </w:rPr>
        <w:t xml:space="preserve">258</w:t>
      </w:r>
      <w:r>
        <w:t xml:space="preserve">(7), 1038–1054.</w:t>
      </w:r>
      <w:r>
        <w:t xml:space="preserve"> </w:t>
      </w:r>
      <w:hyperlink r:id="rId227">
        <w:r>
          <w:rPr>
            <w:rStyle w:val="Hyperlink"/>
          </w:rPr>
          <w:t xml:space="preserve">https://doi.org/10.1016/j.foreco.2009.07.008</w:t>
        </w:r>
      </w:hyperlink>
    </w:p>
    <w:bookmarkEnd w:id="228"/>
    <w:bookmarkStart w:id="229" w:name="ref-lutesFIREMONFireEffects2006"/>
    <w:p>
      <w:pPr>
        <w:pStyle w:val="Bibliography"/>
      </w:pPr>
      <w:r>
        <w:t xml:space="preserve">Lutes, D. C., Keane, R. E., Caratti, J. F., Key, C. H., Benson, N. C., Sutherland, S., &amp; Gangi, L. J. (2006).</w:t>
      </w:r>
      <w:r>
        <w:t xml:space="preserve"> </w:t>
      </w:r>
      <w:r>
        <w:rPr>
          <w:iCs/>
          <w:i/>
        </w:rPr>
        <w:t xml:space="preserve">FIREMON</w:t>
      </w:r>
      <w:r>
        <w:rPr>
          <w:iCs/>
          <w:i/>
        </w:rPr>
        <w:t xml:space="preserve">:</w:t>
      </w:r>
      <w:r>
        <w:rPr>
          <w:iCs/>
          <w:i/>
        </w:rPr>
        <w:t xml:space="preserve"> </w:t>
      </w:r>
      <w:r>
        <w:rPr>
          <w:iCs/>
          <w:i/>
        </w:rPr>
        <w:t xml:space="preserve">Fire</w:t>
      </w:r>
      <w:r>
        <w:rPr>
          <w:iCs/>
          <w:i/>
        </w:rPr>
        <w:t xml:space="preserve"> </w:t>
      </w:r>
      <w:r>
        <w:rPr>
          <w:iCs/>
          <w:i/>
        </w:rPr>
        <w:t xml:space="preserve">effects monitoring and inventory system</w:t>
      </w:r>
      <w:r>
        <w:t xml:space="preserve"> </w:t>
      </w:r>
      <w:r>
        <w:t xml:space="preserve">(RMRS-GTR-164; pp. RMRS-GTR-164). U.S. Department of Agriculture, Forest Service, Rocky Mountain Research Station.</w:t>
      </w:r>
      <w:r>
        <w:t xml:space="preserve"> </w:t>
      </w:r>
      <w:hyperlink r:id="rId182">
        <w:r>
          <w:rPr>
            <w:rStyle w:val="Hyperlink"/>
          </w:rPr>
          <w:t xml:space="preserve">https://doi.org/10.2737/RMRS-GTR-164</w:t>
        </w:r>
      </w:hyperlink>
    </w:p>
    <w:bookmarkEnd w:id="229"/>
    <w:bookmarkStart w:id="231" w:name="ref-martinsonFuelTreatmentsFire2013"/>
    <w:p>
      <w:pPr>
        <w:pStyle w:val="Bibliography"/>
      </w:pPr>
      <w:r>
        <w:t xml:space="preserve">Martinson, E. J., &amp; Omi, P. N. (2013).</w:t>
      </w:r>
      <w:r>
        <w:t xml:space="preserve"> </w:t>
      </w:r>
      <w:r>
        <w:rPr>
          <w:iCs/>
          <w:i/>
        </w:rPr>
        <w:t xml:space="preserve">Fuel treatments and fire severity: A meta-analysis</w:t>
      </w:r>
      <w:r>
        <w:t xml:space="preserve"> </w:t>
      </w:r>
      <w:r>
        <w:t xml:space="preserve">(RMRS-RP-103). U.S. Department of Agriculture, Forest Service, Rocky Mountain Research Station.</w:t>
      </w:r>
      <w:r>
        <w:t xml:space="preserve"> </w:t>
      </w:r>
      <w:hyperlink r:id="rId230">
        <w:r>
          <w:rPr>
            <w:rStyle w:val="Hyperlink"/>
          </w:rPr>
          <w:t xml:space="preserve">https://doi.org/10.2737/RMRS-RP-103</w:t>
        </w:r>
      </w:hyperlink>
    </w:p>
    <w:bookmarkEnd w:id="231"/>
    <w:bookmarkStart w:id="233" w:name="ref-mcdonaldAdaptationsWoodyShrubs1981"/>
    <w:p>
      <w:pPr>
        <w:pStyle w:val="Bibliography"/>
      </w:pPr>
      <w:r>
        <w:t xml:space="preserve">McDonald, P. M. (1981). Adaptations of woody shrubs. In S. D. Hobbs &amp; O. T. Helgerson (Eds.),</w:t>
      </w:r>
      <w:r>
        <w:t xml:space="preserve"> </w:t>
      </w:r>
      <w:r>
        <w:rPr>
          <w:iCs/>
          <w:i/>
        </w:rPr>
        <w:t xml:space="preserve">Reforestation of skeletal soils: Proceedings of a workshop held</w:t>
      </w:r>
      <w:r>
        <w:rPr>
          <w:iCs/>
          <w:i/>
        </w:rPr>
        <w:t xml:space="preserve"> </w:t>
      </w:r>
      <w:r>
        <w:rPr>
          <w:iCs/>
          <w:i/>
        </w:rPr>
        <w:t xml:space="preserve">November</w:t>
      </w:r>
      <w:r>
        <w:rPr>
          <w:iCs/>
          <w:i/>
        </w:rPr>
        <w:t xml:space="preserve"> </w:t>
      </w:r>
      <w:r>
        <w:rPr>
          <w:iCs/>
          <w:i/>
        </w:rPr>
        <w:t xml:space="preserve">17-19, 1981, in</w:t>
      </w:r>
      <w:r>
        <w:rPr>
          <w:iCs/>
          <w:i/>
        </w:rPr>
        <w:t xml:space="preserve"> </w:t>
      </w:r>
      <w:r>
        <w:rPr>
          <w:iCs/>
          <w:i/>
        </w:rPr>
        <w:t xml:space="preserve">Medford</w:t>
      </w:r>
      <w:r>
        <w:rPr>
          <w:iCs/>
          <w:i/>
        </w:rPr>
        <w:t xml:space="preserve">,</w:t>
      </w:r>
      <w:r>
        <w:rPr>
          <w:iCs/>
          <w:i/>
        </w:rPr>
        <w:t xml:space="preserve"> </w:t>
      </w:r>
      <w:r>
        <w:rPr>
          <w:iCs/>
          <w:i/>
        </w:rPr>
        <w:t xml:space="preserve">Oregon</w:t>
      </w:r>
      <w:r>
        <w:t xml:space="preserve"> </w:t>
      </w:r>
      <w:r>
        <w:t xml:space="preserve">(pp. 21–29). FOREST RESEARCH LABORATORY, OREGON STATE UNIVERSITY.</w:t>
      </w:r>
      <w:r>
        <w:t xml:space="preserve"> </w:t>
      </w:r>
      <w:hyperlink r:id="rId232">
        <w:r>
          <w:rPr>
            <w:rStyle w:val="Hyperlink"/>
          </w:rPr>
          <w:t xml:space="preserve">https://ir.library.oregonstate.edu/downloads/70795d72s</w:t>
        </w:r>
      </w:hyperlink>
    </w:p>
    <w:bookmarkEnd w:id="233"/>
    <w:bookmarkStart w:id="234" w:name="ref-millerCanSelectionThinning2001"/>
    <w:p>
      <w:pPr>
        <w:pStyle w:val="Bibliography"/>
      </w:pPr>
      <w:r>
        <w:t xml:space="preserve">Miller, M., &amp; Emmingham, B. (2001). Can selection thinning convert even-age</w:t>
      </w:r>
      <w:r>
        <w:t xml:space="preserve"> </w:t>
      </w:r>
      <w:r>
        <w:t xml:space="preserve">Douglas-fir</w:t>
      </w:r>
      <w:r>
        <w:t xml:space="preserve"> </w:t>
      </w:r>
      <w:r>
        <w:t xml:space="preserve">stands to uneven-age structures?</w:t>
      </w:r>
      <w:r>
        <w:t xml:space="preserve"> </w:t>
      </w:r>
      <w:r>
        <w:rPr>
          <w:iCs/>
          <w:i/>
        </w:rPr>
        <w:t xml:space="preserve">Western Journal of Applied Forestry</w:t>
      </w:r>
      <w:r>
        <w:t xml:space="preserve">,</w:t>
      </w:r>
      <w:r>
        <w:t xml:space="preserve"> </w:t>
      </w:r>
      <w:r>
        <w:rPr>
          <w:iCs/>
          <w:i/>
        </w:rPr>
        <w:t xml:space="preserve">16</w:t>
      </w:r>
      <w:r>
        <w:t xml:space="preserve">(1), 35–43.</w:t>
      </w:r>
    </w:p>
    <w:bookmarkEnd w:id="234"/>
    <w:bookmarkStart w:id="235" w:name="X6e3d56cbf0dad0d47961d246d34fb89669de150"/>
    <w:p>
      <w:pPr>
        <w:pStyle w:val="Bibliography"/>
      </w:pPr>
      <w:r>
        <w:t xml:space="preserve">Mitchell, R. J., Hiers, J. K., O’Brien, J., &amp; Starr, G. (2009). Ecological forestry in the</w:t>
      </w:r>
      <w:r>
        <w:t xml:space="preserve"> </w:t>
      </w:r>
      <w:r>
        <w:t xml:space="preserve">Southeast</w:t>
      </w:r>
      <w:r>
        <w:t xml:space="preserve">: Understanding the ecology of fuels.</w:t>
      </w:r>
      <w:r>
        <w:t xml:space="preserve"> </w:t>
      </w:r>
      <w:r>
        <w:rPr>
          <w:iCs/>
          <w:i/>
        </w:rPr>
        <w:t xml:space="preserve">Journal of Forestry</w:t>
      </w:r>
      <w:r>
        <w:t xml:space="preserve">, 7.</w:t>
      </w:r>
    </w:p>
    <w:bookmarkEnd w:id="235"/>
    <w:bookmarkStart w:id="237" w:name="X96a96f4e010b3b5f3375bf838eaf704912becc6"/>
    <w:p>
      <w:pPr>
        <w:pStyle w:val="Bibliography"/>
      </w:pPr>
      <w:r>
        <w:t xml:space="preserve">Mitchell, S. J., &amp; Beese, W. J. (2002). The retention system: Reconciling variable retention with the principles of silvicultural systems.</w:t>
      </w:r>
      <w:r>
        <w:t xml:space="preserve"> </w:t>
      </w:r>
      <w:r>
        <w:rPr>
          <w:iCs/>
          <w:i/>
        </w:rPr>
        <w:t xml:space="preserve">The Forestry Chronicle</w:t>
      </w:r>
      <w:r>
        <w:t xml:space="preserve">,</w:t>
      </w:r>
      <w:r>
        <w:t xml:space="preserve"> </w:t>
      </w:r>
      <w:r>
        <w:rPr>
          <w:iCs/>
          <w:i/>
        </w:rPr>
        <w:t xml:space="preserve">78</w:t>
      </w:r>
      <w:r>
        <w:t xml:space="preserve">(3), 397–403.</w:t>
      </w:r>
      <w:r>
        <w:t xml:space="preserve"> </w:t>
      </w:r>
      <w:hyperlink r:id="rId236">
        <w:r>
          <w:rPr>
            <w:rStyle w:val="Hyperlink"/>
          </w:rPr>
          <w:t xml:space="preserve">https://doi.org/10.5558/tfc78397-3</w:t>
        </w:r>
      </w:hyperlink>
    </w:p>
    <w:bookmarkEnd w:id="237"/>
    <w:bookmarkStart w:id="239" w:name="ref-mumaConvertingCoastRedwood2019"/>
    <w:p>
      <w:pPr>
        <w:pStyle w:val="Bibliography"/>
      </w:pPr>
      <w:r>
        <w:t xml:space="preserve">Muma, R. T. (2019).</w:t>
      </w:r>
      <w:r>
        <w:t xml:space="preserve"> </w:t>
      </w:r>
      <w:r>
        <w:rPr>
          <w:iCs/>
          <w:i/>
        </w:rPr>
        <w:t xml:space="preserve">Converting coast redwood/douglas-fir forests to multiaged management: Residual stand damage, tree growth, and regeneration</w:t>
      </w:r>
      <w:r>
        <w:t xml:space="preserve"> </w:t>
      </w:r>
      <w:r>
        <w:t xml:space="preserve">[Humboldt State University].</w:t>
      </w:r>
      <w:r>
        <w:t xml:space="preserve"> </w:t>
      </w:r>
      <w:hyperlink r:id="rId238">
        <w:r>
          <w:rPr>
            <w:rStyle w:val="Hyperlink"/>
          </w:rPr>
          <w:t xml:space="preserve">https://digitalcommons.humboldt.edu/etd/269</w:t>
        </w:r>
      </w:hyperlink>
    </w:p>
    <w:bookmarkEnd w:id="239"/>
    <w:bookmarkStart w:id="241" w:name="ref-mumaDynamicsStumpSprout2022"/>
    <w:p>
      <w:pPr>
        <w:pStyle w:val="Bibliography"/>
      </w:pPr>
      <w:r>
        <w:t xml:space="preserve">Muma, R., Webb, L. A., Zald, H. S. J., Boston, K., Dagley, C. M., &amp; Berrill, J.-P. (2022). Dynamics of stump sprout regeneration after transformation to multiaged management in coast redwood forests.</w:t>
      </w:r>
      <w:r>
        <w:t xml:space="preserve"> </w:t>
      </w:r>
      <w:r>
        <w:rPr>
          <w:iCs/>
          <w:i/>
        </w:rPr>
        <w:t xml:space="preserve">Forest Ecology and Management</w:t>
      </w:r>
      <w:r>
        <w:t xml:space="preserve">,</w:t>
      </w:r>
      <w:r>
        <w:t xml:space="preserve"> </w:t>
      </w:r>
      <w:r>
        <w:rPr>
          <w:iCs/>
          <w:i/>
        </w:rPr>
        <w:t xml:space="preserve">515</w:t>
      </w:r>
      <w:r>
        <w:t xml:space="preserve">, 120236.</w:t>
      </w:r>
      <w:r>
        <w:t xml:space="preserve"> </w:t>
      </w:r>
      <w:hyperlink r:id="rId240">
        <w:r>
          <w:rPr>
            <w:rStyle w:val="Hyperlink"/>
          </w:rPr>
          <w:t xml:space="preserve">https://doi.org/10.1016/j.foreco.2022.120236</w:t>
        </w:r>
      </w:hyperlink>
    </w:p>
    <w:bookmarkEnd w:id="241"/>
    <w:bookmarkStart w:id="243" w:name="ref-nealSproutingOldgrowthRedwood1967"/>
    <w:p>
      <w:pPr>
        <w:pStyle w:val="Bibliography"/>
      </w:pPr>
      <w:r>
        <w:t xml:space="preserve">Neal, R. L. J. (1967).</w:t>
      </w:r>
      <w:r>
        <w:t xml:space="preserve"> </w:t>
      </w:r>
      <w:r>
        <w:rPr>
          <w:iCs/>
          <w:i/>
        </w:rPr>
        <w:t xml:space="preserve">Sprouting of old-growth redwood stumps...first year after logging</w:t>
      </w:r>
      <w:r>
        <w:t xml:space="preserve"> </w:t>
      </w:r>
      <w:r>
        <w:t xml:space="preserve">(Research Note PSW-137).</w:t>
      </w:r>
      <w:r>
        <w:t xml:space="preserve"> </w:t>
      </w:r>
      <w:r>
        <w:t xml:space="preserve">U.S. Department of Agriculture, Forest Service, Pacific Southwest Forest and Range Experiment Station</w:t>
      </w:r>
      <w:r>
        <w:t xml:space="preserve">.</w:t>
      </w:r>
      <w:r>
        <w:t xml:space="preserve"> </w:t>
      </w:r>
      <w:hyperlink r:id="rId242">
        <w:r>
          <w:rPr>
            <w:rStyle w:val="Hyperlink"/>
          </w:rPr>
          <w:t xml:space="preserve">https://www.fs.usda.gov/research/treesearch/37978</w:t>
        </w:r>
      </w:hyperlink>
    </w:p>
    <w:bookmarkEnd w:id="243"/>
    <w:bookmarkStart w:id="245" w:name="ref-nievesStandSiteCharacteristics2022"/>
    <w:p>
      <w:pPr>
        <w:pStyle w:val="Bibliography"/>
      </w:pPr>
      <w:r>
        <w:t xml:space="preserve">Nieves, J. M., Ward, J. S., Royo, A. A., McDill, M. E., Kreye, J. K., &amp; Steiner, K. C. (2022). Stand and site characteristics affect the probability of stump sprouting in some eastern</w:t>
      </w:r>
      <w:r>
        <w:t xml:space="preserve"> </w:t>
      </w:r>
      <w:r>
        <w:t xml:space="preserve">North American</w:t>
      </w:r>
      <w:r>
        <w:t xml:space="preserve"> </w:t>
      </w:r>
      <w:r>
        <w:t xml:space="preserve">hardwoods.</w:t>
      </w:r>
      <w:r>
        <w:t xml:space="preserve"> </w:t>
      </w:r>
      <w:r>
        <w:rPr>
          <w:iCs/>
          <w:i/>
        </w:rPr>
        <w:t xml:space="preserve">Forest Ecology and Management</w:t>
      </w:r>
      <w:r>
        <w:t xml:space="preserve">,</w:t>
      </w:r>
      <w:r>
        <w:t xml:space="preserve"> </w:t>
      </w:r>
      <w:r>
        <w:rPr>
          <w:iCs/>
          <w:i/>
        </w:rPr>
        <w:t xml:space="preserve">511</w:t>
      </w:r>
      <w:r>
        <w:t xml:space="preserve">, 120136.</w:t>
      </w:r>
      <w:r>
        <w:t xml:space="preserve"> </w:t>
      </w:r>
      <w:hyperlink r:id="rId244">
        <w:r>
          <w:rPr>
            <w:rStyle w:val="Hyperlink"/>
          </w:rPr>
          <w:t xml:space="preserve">https://doi.org/10.1016/j.foreco.2022.120136</w:t>
        </w:r>
      </w:hyperlink>
    </w:p>
    <w:bookmarkEnd w:id="245"/>
    <w:bookmarkStart w:id="247" w:name="ref-noletComparingEffectsEven2018"/>
    <w:p>
      <w:pPr>
        <w:pStyle w:val="Bibliography"/>
      </w:pPr>
      <w:r>
        <w:t xml:space="preserve">Nolet, P., Kneeshaw, D., Messier, C., &amp; Béland, M. (2018). Comparing the effects of even- and uneven-aged silviculture on ecological diversity and processes:</w:t>
      </w:r>
      <w:r>
        <w:t xml:space="preserve"> </w:t>
      </w:r>
      <w:r>
        <w:t xml:space="preserve">A</w:t>
      </w:r>
      <w:r>
        <w:t xml:space="preserve"> </w:t>
      </w:r>
      <w:r>
        <w:t xml:space="preserve">review.</w:t>
      </w:r>
      <w:r>
        <w:t xml:space="preserve"> </w:t>
      </w:r>
      <w:r>
        <w:rPr>
          <w:iCs/>
          <w:i/>
        </w:rPr>
        <w:t xml:space="preserve">Ecology and Evolution</w:t>
      </w:r>
      <w:r>
        <w:t xml:space="preserve">,</w:t>
      </w:r>
      <w:r>
        <w:t xml:space="preserve"> </w:t>
      </w:r>
      <w:r>
        <w:rPr>
          <w:iCs/>
          <w:i/>
        </w:rPr>
        <w:t xml:space="preserve">8</w:t>
      </w:r>
      <w:r>
        <w:t xml:space="preserve">(2), 1217–1226.</w:t>
      </w:r>
      <w:r>
        <w:t xml:space="preserve"> </w:t>
      </w:r>
      <w:hyperlink r:id="rId246">
        <w:r>
          <w:rPr>
            <w:rStyle w:val="Hyperlink"/>
          </w:rPr>
          <w:t xml:space="preserve">https://doi.org/10.1002/ece3.3737</w:t>
        </w:r>
      </w:hyperlink>
    </w:p>
    <w:bookmarkEnd w:id="247"/>
    <w:bookmarkStart w:id="249" w:name="Xc7c239d5074a64934320dfd1645b515398f906a"/>
    <w:p>
      <w:pPr>
        <w:pStyle w:val="Bibliography"/>
      </w:pPr>
      <w:r>
        <w:t xml:space="preserve">North, M. P., York, R. A., Collins, B. M., Hurteau, M. D., Jones, G. M., Knapp, E. E., Kobziar, L., McCann, H., Meyer, M. D., Stephens, S. L., Tompkins, R. E., &amp; Tubbesing, C. L. (2021). Pyrosilviculture needed for landscape resilience of dry western united states forests.</w:t>
      </w:r>
      <w:r>
        <w:t xml:space="preserve"> </w:t>
      </w:r>
      <w:r>
        <w:rPr>
          <w:iCs/>
          <w:i/>
        </w:rPr>
        <w:t xml:space="preserve">Journal of Forestry</w:t>
      </w:r>
      <w:r>
        <w:t xml:space="preserve">,</w:t>
      </w:r>
      <w:r>
        <w:t xml:space="preserve"> </w:t>
      </w:r>
      <w:r>
        <w:rPr>
          <w:iCs/>
          <w:i/>
        </w:rPr>
        <w:t xml:space="preserve">119</w:t>
      </w:r>
      <w:r>
        <w:t xml:space="preserve">(5), 520–544.</w:t>
      </w:r>
      <w:r>
        <w:t xml:space="preserve"> </w:t>
      </w:r>
      <w:hyperlink r:id="rId248">
        <w:r>
          <w:rPr>
            <w:rStyle w:val="Hyperlink"/>
          </w:rPr>
          <w:t xml:space="preserve">https://doi.org/10.1093/jofore/fvab026</w:t>
        </w:r>
      </w:hyperlink>
    </w:p>
    <w:bookmarkEnd w:id="249"/>
    <w:bookmarkStart w:id="251" w:name="X576afc95edcae7a1815c35912b88fe778db61f4"/>
    <w:p>
      <w:pPr>
        <w:pStyle w:val="Bibliography"/>
      </w:pPr>
      <w:r>
        <w:t xml:space="preserve">O’Hara, K. L. (1998). Silviculture for</w:t>
      </w:r>
      <w:r>
        <w:t xml:space="preserve"> </w:t>
      </w:r>
      <w:r>
        <w:t xml:space="preserve">Structural Diversity</w:t>
      </w:r>
      <w:r>
        <w:t xml:space="preserve">:</w:t>
      </w:r>
      <w:r>
        <w:t xml:space="preserve"> </w:t>
      </w:r>
      <w:r>
        <w:t xml:space="preserve">A New Look</w:t>
      </w:r>
      <w:r>
        <w:t xml:space="preserve"> </w:t>
      </w:r>
      <w:r>
        <w:t xml:space="preserve">at</w:t>
      </w:r>
      <w:r>
        <w:t xml:space="preserve"> </w:t>
      </w:r>
      <w:r>
        <w:t xml:space="preserve">Multiaged Systems</w:t>
      </w:r>
      <w:r>
        <w:t xml:space="preserve">.</w:t>
      </w:r>
      <w:r>
        <w:t xml:space="preserve"> </w:t>
      </w:r>
      <w:r>
        <w:rPr>
          <w:iCs/>
          <w:i/>
        </w:rPr>
        <w:t xml:space="preserve">Journal of Forestry</w:t>
      </w:r>
      <w:r>
        <w:t xml:space="preserve">,</w:t>
      </w:r>
      <w:r>
        <w:t xml:space="preserve"> </w:t>
      </w:r>
      <w:r>
        <w:rPr>
          <w:iCs/>
          <w:i/>
        </w:rPr>
        <w:t xml:space="preserve">96</w:t>
      </w:r>
      <w:r>
        <w:t xml:space="preserve">(7), 4–10.</w:t>
      </w:r>
      <w:r>
        <w:t xml:space="preserve"> </w:t>
      </w:r>
      <w:hyperlink r:id="rId250">
        <w:r>
          <w:rPr>
            <w:rStyle w:val="Hyperlink"/>
          </w:rPr>
          <w:t xml:space="preserve">https://doi.org/10.1093/jof/96.7.4a</w:t>
        </w:r>
      </w:hyperlink>
    </w:p>
    <w:bookmarkEnd w:id="251"/>
    <w:bookmarkStart w:id="253" w:name="Xecd8d6790cdaed58893d78d9f600c5959d02090"/>
    <w:p>
      <w:pPr>
        <w:pStyle w:val="Bibliography"/>
      </w:pPr>
      <w:r>
        <w:t xml:space="preserve">O’Hara, K. L. (2001). The silviculture of transformation — a commentary.</w:t>
      </w:r>
      <w:r>
        <w:t xml:space="preserve"> </w:t>
      </w:r>
      <w:r>
        <w:rPr>
          <w:iCs/>
          <w:i/>
        </w:rPr>
        <w:t xml:space="preserve">Forest Ecology and Management</w:t>
      </w:r>
      <w:r>
        <w:t xml:space="preserve">,</w:t>
      </w:r>
      <w:r>
        <w:t xml:space="preserve"> </w:t>
      </w:r>
      <w:r>
        <w:rPr>
          <w:iCs/>
          <w:i/>
        </w:rPr>
        <w:t xml:space="preserve">151</w:t>
      </w:r>
      <w:r>
        <w:t xml:space="preserve">(1), 81–86.</w:t>
      </w:r>
      <w:r>
        <w:t xml:space="preserve"> </w:t>
      </w:r>
      <w:hyperlink r:id="rId252">
        <w:r>
          <w:rPr>
            <w:rStyle w:val="Hyperlink"/>
          </w:rPr>
          <w:t xml:space="preserve">https://doi.org/10.1016/S0378-1127(00)00698-8</w:t>
        </w:r>
      </w:hyperlink>
    </w:p>
    <w:bookmarkEnd w:id="253"/>
    <w:bookmarkStart w:id="255" w:name="ref-oharaHistoricalDevelopmentUneven2002"/>
    <w:p>
      <w:pPr>
        <w:pStyle w:val="Bibliography"/>
      </w:pPr>
      <w:r>
        <w:t xml:space="preserve">O’Hara, K. L. (2002). The historical development of uneven‐aged silviculture in</w:t>
      </w:r>
      <w:r>
        <w:t xml:space="preserve"> </w:t>
      </w:r>
      <w:r>
        <w:t xml:space="preserve">North America</w:t>
      </w:r>
      <w:r>
        <w:t xml:space="preserve">.</w:t>
      </w:r>
      <w:r>
        <w:t xml:space="preserve"> </w:t>
      </w:r>
      <w:r>
        <w:rPr>
          <w:iCs/>
          <w:i/>
        </w:rPr>
        <w:t xml:space="preserve">Forestry: An International Journal of Forest Research</w:t>
      </w:r>
      <w:r>
        <w:t xml:space="preserve">,</w:t>
      </w:r>
      <w:r>
        <w:t xml:space="preserve"> </w:t>
      </w:r>
      <w:r>
        <w:rPr>
          <w:iCs/>
          <w:i/>
        </w:rPr>
        <w:t xml:space="preserve">75</w:t>
      </w:r>
      <w:r>
        <w:t xml:space="preserve">(4), 339–346.</w:t>
      </w:r>
      <w:r>
        <w:t xml:space="preserve"> </w:t>
      </w:r>
      <w:hyperlink r:id="rId254">
        <w:r>
          <w:rPr>
            <w:rStyle w:val="Hyperlink"/>
          </w:rPr>
          <w:t xml:space="preserve">https://doi.org/10.1093/forestry/75.4.339</w:t>
        </w:r>
      </w:hyperlink>
    </w:p>
    <w:bookmarkEnd w:id="255"/>
    <w:bookmarkStart w:id="257" w:name="ref-oharaDynamicsCoastRedwood2010"/>
    <w:p>
      <w:pPr>
        <w:pStyle w:val="Bibliography"/>
      </w:pPr>
      <w:r>
        <w:t xml:space="preserve">O’Hara, K. L., &amp; Berrill, J.-P. (2010). Dynamics of coast redwood sprout clump development in variable light environments.</w:t>
      </w:r>
      <w:r>
        <w:t xml:space="preserve"> </w:t>
      </w:r>
      <w:r>
        <w:rPr>
          <w:iCs/>
          <w:i/>
        </w:rPr>
        <w:t xml:space="preserve">Journal of Forest Research</w:t>
      </w:r>
      <w:r>
        <w:t xml:space="preserve">,</w:t>
      </w:r>
      <w:r>
        <w:t xml:space="preserve"> </w:t>
      </w:r>
      <w:r>
        <w:rPr>
          <w:iCs/>
          <w:i/>
        </w:rPr>
        <w:t xml:space="preserve">15</w:t>
      </w:r>
      <w:r>
        <w:t xml:space="preserve">(2), 131–139.</w:t>
      </w:r>
      <w:r>
        <w:t xml:space="preserve"> </w:t>
      </w:r>
      <w:hyperlink r:id="rId256">
        <w:r>
          <w:rPr>
            <w:rStyle w:val="Hyperlink"/>
          </w:rPr>
          <w:t xml:space="preserve">https://doi.org/10.1007/s10310-009-0166-0</w:t>
        </w:r>
      </w:hyperlink>
    </w:p>
    <w:bookmarkEnd w:id="257"/>
    <w:bookmarkStart w:id="259" w:name="ref-oharaRegenerationDynamicsCoast2017"/>
    <w:p>
      <w:pPr>
        <w:pStyle w:val="Bibliography"/>
      </w:pPr>
      <w:r>
        <w:t xml:space="preserve">O’Hara, K. L., Cox, L., Nikolaeva, S., Bauer, J., &amp; Hedges, R. (2017). Regeneration dynamics of coast redwood, a sprouting conifer species: A review with implications for management and restoration.</w:t>
      </w:r>
      <w:r>
        <w:t xml:space="preserve"> </w:t>
      </w:r>
      <w:r>
        <w:rPr>
          <w:iCs/>
          <w:i/>
        </w:rPr>
        <w:t xml:space="preserve">Forests</w:t>
      </w:r>
      <w:r>
        <w:t xml:space="preserve">,</w:t>
      </w:r>
      <w:r>
        <w:t xml:space="preserve"> </w:t>
      </w:r>
      <w:r>
        <w:rPr>
          <w:iCs/>
          <w:i/>
        </w:rPr>
        <w:t xml:space="preserve">8</w:t>
      </w:r>
      <w:r>
        <w:t xml:space="preserve">(5), 144.</w:t>
      </w:r>
      <w:r>
        <w:t xml:space="preserve"> </w:t>
      </w:r>
      <w:hyperlink r:id="rId258">
        <w:r>
          <w:rPr>
            <w:rStyle w:val="Hyperlink"/>
          </w:rPr>
          <w:t xml:space="preserve">https://doi.org/10.3390/f8050144</w:t>
        </w:r>
      </w:hyperlink>
    </w:p>
    <w:bookmarkEnd w:id="259"/>
    <w:bookmarkStart w:id="261" w:name="ref-oharaUnderstoryStumpSprout2007"/>
    <w:p>
      <w:pPr>
        <w:pStyle w:val="Bibliography"/>
      </w:pPr>
      <w:r>
        <w:t xml:space="preserve">O’Hara, K. L., Stancioiu, P. T., &amp; Spencer, M. A. (2007). Understory stump sprout development under variable canopy density and leaf area in coast redwood.</w:t>
      </w:r>
      <w:r>
        <w:t xml:space="preserve"> </w:t>
      </w:r>
      <w:r>
        <w:rPr>
          <w:iCs/>
          <w:i/>
        </w:rPr>
        <w:t xml:space="preserve">Forest Ecology and Management</w:t>
      </w:r>
      <w:r>
        <w:t xml:space="preserve">,</w:t>
      </w:r>
      <w:r>
        <w:t xml:space="preserve"> </w:t>
      </w:r>
      <w:r>
        <w:rPr>
          <w:iCs/>
          <w:i/>
        </w:rPr>
        <w:t xml:space="preserve">244</w:t>
      </w:r>
      <w:r>
        <w:t xml:space="preserve">(1), 76–85.</w:t>
      </w:r>
      <w:r>
        <w:t xml:space="preserve"> </w:t>
      </w:r>
      <w:hyperlink r:id="rId260">
        <w:r>
          <w:rPr>
            <w:rStyle w:val="Hyperlink"/>
          </w:rPr>
          <w:t xml:space="preserve">https://doi.org/10.1016/j.foreco.2007.03.062</w:t>
        </w:r>
      </w:hyperlink>
    </w:p>
    <w:bookmarkEnd w:id="261"/>
    <w:bookmarkStart w:id="263" w:name="ref-odlandPlantCommunityResponse2021"/>
    <w:p>
      <w:pPr>
        <w:pStyle w:val="Bibliography"/>
      </w:pPr>
      <w:r>
        <w:t xml:space="preserve">Odland, M. C., Goodwin, M. J., Smithers, B. V., Hurteau, M. D., &amp; North, M. P. (2021). Plant community response to thinning and repeated fire in</w:t>
      </w:r>
      <w:r>
        <w:t xml:space="preserve"> </w:t>
      </w:r>
      <w:r>
        <w:t xml:space="preserve">Sierra Nevada</w:t>
      </w:r>
      <w:r>
        <w:t xml:space="preserve"> </w:t>
      </w:r>
      <w:r>
        <w:t xml:space="preserve">mixed-conifer forest understories.</w:t>
      </w:r>
      <w:r>
        <w:t xml:space="preserve"> </w:t>
      </w:r>
      <w:r>
        <w:rPr>
          <w:iCs/>
          <w:i/>
        </w:rPr>
        <w:t xml:space="preserve">Forest Ecology and Management</w:t>
      </w:r>
      <w:r>
        <w:t xml:space="preserve">,</w:t>
      </w:r>
      <w:r>
        <w:t xml:space="preserve"> </w:t>
      </w:r>
      <w:r>
        <w:rPr>
          <w:iCs/>
          <w:i/>
        </w:rPr>
        <w:t xml:space="preserve">495</w:t>
      </w:r>
      <w:r>
        <w:t xml:space="preserve">, 119361.</w:t>
      </w:r>
      <w:r>
        <w:t xml:space="preserve"> </w:t>
      </w:r>
      <w:hyperlink r:id="rId262">
        <w:r>
          <w:rPr>
            <w:rStyle w:val="Hyperlink"/>
          </w:rPr>
          <w:t xml:space="preserve">https://doi.org/10.1016/j.foreco.2021.119361</w:t>
        </w:r>
      </w:hyperlink>
    </w:p>
    <w:bookmarkEnd w:id="263"/>
    <w:bookmarkStart w:id="265" w:name="ref-parksWarmerDrierFire2020"/>
    <w:p>
      <w:pPr>
        <w:pStyle w:val="Bibliography"/>
      </w:pPr>
      <w:r>
        <w:t xml:space="preserve">Parks, S. A., &amp; Abatzoglou, J. T. (2020). Warmer and drier fire seasons contribute to increases in area burned at high severity in western</w:t>
      </w:r>
      <w:r>
        <w:t xml:space="preserve"> </w:t>
      </w:r>
      <w:r>
        <w:t xml:space="preserve">US</w:t>
      </w:r>
      <w:r>
        <w:t xml:space="preserve"> </w:t>
      </w:r>
      <w:r>
        <w:t xml:space="preserve">forests from 1985 to 2017.</w:t>
      </w:r>
      <w:r>
        <w:t xml:space="preserve"> </w:t>
      </w:r>
      <w:r>
        <w:rPr>
          <w:iCs/>
          <w:i/>
        </w:rPr>
        <w:t xml:space="preserve">Geophysical Research Letters</w:t>
      </w:r>
      <w:r>
        <w:t xml:space="preserve">,</w:t>
      </w:r>
      <w:r>
        <w:t xml:space="preserve"> </w:t>
      </w:r>
      <w:r>
        <w:rPr>
          <w:iCs/>
          <w:i/>
        </w:rPr>
        <w:t xml:space="preserve">47</w:t>
      </w:r>
      <w:r>
        <w:t xml:space="preserve">(22).</w:t>
      </w:r>
      <w:r>
        <w:t xml:space="preserve"> </w:t>
      </w:r>
      <w:hyperlink r:id="rId264">
        <w:r>
          <w:rPr>
            <w:rStyle w:val="Hyperlink"/>
          </w:rPr>
          <w:t xml:space="preserve">https://doi.org/10.1029/2020GL089858</w:t>
        </w:r>
      </w:hyperlink>
    </w:p>
    <w:bookmarkEnd w:id="265"/>
    <w:bookmarkStart w:id="267" w:name="ref-powersSproutingOldGrowthCoastal1970"/>
    <w:p>
      <w:pPr>
        <w:pStyle w:val="Bibliography"/>
      </w:pPr>
      <w:r>
        <w:t xml:space="preserve">Powers, R. F., &amp; Wiant, H. V., Jr. (1970). Sprouting of</w:t>
      </w:r>
      <w:r>
        <w:t xml:space="preserve"> </w:t>
      </w:r>
      <w:r>
        <w:t xml:space="preserve">Old-Growth Coastal Redwood Stumps</w:t>
      </w:r>
      <w:r>
        <w:t xml:space="preserve"> </w:t>
      </w:r>
      <w:r>
        <w:t xml:space="preserve">on</w:t>
      </w:r>
      <w:r>
        <w:t xml:space="preserve"> </w:t>
      </w:r>
      <w:r>
        <w:t xml:space="preserve">Slopes</w:t>
      </w:r>
      <w:r>
        <w:t xml:space="preserve">.</w:t>
      </w:r>
      <w:r>
        <w:t xml:space="preserve"> </w:t>
      </w:r>
      <w:r>
        <w:rPr>
          <w:iCs/>
          <w:i/>
        </w:rPr>
        <w:t xml:space="preserve">Forest Science</w:t>
      </w:r>
      <w:r>
        <w:t xml:space="preserve">,</w:t>
      </w:r>
      <w:r>
        <w:t xml:space="preserve"> </w:t>
      </w:r>
      <w:r>
        <w:rPr>
          <w:iCs/>
          <w:i/>
        </w:rPr>
        <w:t xml:space="preserve">16</w:t>
      </w:r>
      <w:r>
        <w:t xml:space="preserve">(3), 339–341.</w:t>
      </w:r>
      <w:r>
        <w:t xml:space="preserve"> </w:t>
      </w:r>
      <w:hyperlink r:id="rId266">
        <w:r>
          <w:rPr>
            <w:rStyle w:val="Hyperlink"/>
          </w:rPr>
          <w:t xml:space="preserve">https://doi.org/10.1093/forestscience/16.3.339</w:t>
        </w:r>
      </w:hyperlink>
    </w:p>
    <w:bookmarkEnd w:id="267"/>
    <w:bookmarkStart w:id="269" w:name="X4b3bfaa56dbc0d0f7e18fce085ec7a7f6c69a8e"/>
    <w:p>
      <w:pPr>
        <w:pStyle w:val="Bibliography"/>
      </w:pPr>
      <w:r>
        <w:t xml:space="preserve">Reineke, L. H. (1933). Perfection a stand-density index for even-aged forest.</w:t>
      </w:r>
      <w:r>
        <w:t xml:space="preserve"> </w:t>
      </w:r>
      <w:r>
        <w:rPr>
          <w:iCs/>
          <w:i/>
        </w:rPr>
        <w:t xml:space="preserve">Journal of Agricultural Research</w:t>
      </w:r>
      <w:r>
        <w:t xml:space="preserve">,</w:t>
      </w:r>
      <w:r>
        <w:t xml:space="preserve"> </w:t>
      </w:r>
      <w:r>
        <w:rPr>
          <w:iCs/>
          <w:i/>
        </w:rPr>
        <w:t xml:space="preserve">46</w:t>
      </w:r>
      <w:r>
        <w:t xml:space="preserve">, 627–638.</w:t>
      </w:r>
      <w:r>
        <w:t xml:space="preserve"> </w:t>
      </w:r>
      <w:hyperlink r:id="rId268">
        <w:r>
          <w:rPr>
            <w:rStyle w:val="Hyperlink"/>
          </w:rPr>
          <w:t xml:space="preserve">https://www.fs.usda.gov/treesearch/pubs/60134</w:t>
        </w:r>
      </w:hyperlink>
    </w:p>
    <w:bookmarkEnd w:id="269"/>
    <w:bookmarkStart w:id="271" w:name="ref-saffordNaturalRangeVariation2017"/>
    <w:p>
      <w:pPr>
        <w:pStyle w:val="Bibliography"/>
      </w:pPr>
      <w:r>
        <w:t xml:space="preserve">Safford, H. D., &amp; Stevens, J. T. (2017).</w:t>
      </w:r>
      <w:r>
        <w:t xml:space="preserve"> </w:t>
      </w:r>
      <w:r>
        <w:rPr>
          <w:iCs/>
          <w:i/>
        </w:rPr>
        <w:t xml:space="preserve">Natural range of variation for yellow pine and mixed-conifer forests in the</w:t>
      </w:r>
      <w:r>
        <w:rPr>
          <w:iCs/>
          <w:i/>
        </w:rPr>
        <w:t xml:space="preserve"> </w:t>
      </w:r>
      <w:r>
        <w:rPr>
          <w:iCs/>
          <w:i/>
        </w:rPr>
        <w:t xml:space="preserve">Sierra Nevada</w:t>
      </w:r>
      <w:r>
        <w:rPr>
          <w:iCs/>
          <w:i/>
        </w:rPr>
        <w:t xml:space="preserve">, southern</w:t>
      </w:r>
      <w:r>
        <w:rPr>
          <w:iCs/>
          <w:i/>
        </w:rPr>
        <w:t xml:space="preserve"> </w:t>
      </w:r>
      <w:r>
        <w:rPr>
          <w:iCs/>
          <w:i/>
        </w:rPr>
        <w:t xml:space="preserve">Cascades</w:t>
      </w:r>
      <w:r>
        <w:rPr>
          <w:iCs/>
          <w:i/>
        </w:rPr>
        <w:t xml:space="preserve">, and</w:t>
      </w:r>
      <w:r>
        <w:rPr>
          <w:iCs/>
          <w:i/>
        </w:rPr>
        <w:t xml:space="preserve"> </w:t>
      </w:r>
      <w:r>
        <w:rPr>
          <w:iCs/>
          <w:i/>
        </w:rPr>
        <w:t xml:space="preserve">Modoc</w:t>
      </w:r>
      <w:r>
        <w:rPr>
          <w:iCs/>
          <w:i/>
        </w:rPr>
        <w:t xml:space="preserve"> </w:t>
      </w:r>
      <w:r>
        <w:rPr>
          <w:iCs/>
          <w:i/>
        </w:rPr>
        <w:t xml:space="preserve">and</w:t>
      </w:r>
      <w:r>
        <w:rPr>
          <w:iCs/>
          <w:i/>
        </w:rPr>
        <w:t xml:space="preserve"> </w:t>
      </w:r>
      <w:r>
        <w:rPr>
          <w:iCs/>
          <w:i/>
        </w:rPr>
        <w:t xml:space="preserve">Inyo National Forests</w:t>
      </w:r>
      <w:r>
        <w:rPr>
          <w:iCs/>
          <w:i/>
        </w:rPr>
        <w:t xml:space="preserve">,</w:t>
      </w:r>
      <w:r>
        <w:rPr>
          <w:iCs/>
          <w:i/>
        </w:rPr>
        <w:t xml:space="preserve"> </w:t>
      </w:r>
      <w:r>
        <w:rPr>
          <w:iCs/>
          <w:i/>
        </w:rPr>
        <w:t xml:space="preserve">California</w:t>
      </w:r>
      <w:r>
        <w:rPr>
          <w:iCs/>
          <w:i/>
        </w:rPr>
        <w:t xml:space="preserve">,</w:t>
      </w:r>
      <w:r>
        <w:rPr>
          <w:iCs/>
          <w:i/>
        </w:rPr>
        <w:t xml:space="preserve"> </w:t>
      </w:r>
      <w:r>
        <w:rPr>
          <w:iCs/>
          <w:i/>
        </w:rPr>
        <w:t xml:space="preserve">USA</w:t>
      </w:r>
      <w:r>
        <w:t xml:space="preserve"> </w:t>
      </w:r>
      <w:r>
        <w:t xml:space="preserve">(PSW-GTR-256; pp. PSW-GTR-256). U.S. Department of Agriculture, Forest Service, Pacific Southwest Research Station.</w:t>
      </w:r>
      <w:r>
        <w:t xml:space="preserve"> </w:t>
      </w:r>
      <w:hyperlink r:id="rId270">
        <w:r>
          <w:rPr>
            <w:rStyle w:val="Hyperlink"/>
          </w:rPr>
          <w:t xml:space="preserve">https://doi.org/10.2737/PSW-GTR-256</w:t>
        </w:r>
      </w:hyperlink>
    </w:p>
    <w:bookmarkEnd w:id="271"/>
    <w:bookmarkStart w:id="273" w:name="ref-schneiderResidualStandStructure2023"/>
    <w:p>
      <w:pPr>
        <w:pStyle w:val="Bibliography"/>
      </w:pPr>
      <w:r>
        <w:t xml:space="preserve">Schneider, K. A., Berrill, J.-P., Dagley, C. M., Webb, L. A., &amp; Hohl, A. (2023). Residual</w:t>
      </w:r>
      <w:r>
        <w:t xml:space="preserve"> </w:t>
      </w:r>
      <w:r>
        <w:t xml:space="preserve">Stand Structure</w:t>
      </w:r>
      <w:r>
        <w:t xml:space="preserve"> </w:t>
      </w:r>
      <w:r>
        <w:t xml:space="preserve">and</w:t>
      </w:r>
      <w:r>
        <w:t xml:space="preserve"> </w:t>
      </w:r>
      <w:r>
        <w:t xml:space="preserve">Topography Predict Initial Survival</w:t>
      </w:r>
      <w:r>
        <w:t xml:space="preserve"> </w:t>
      </w:r>
      <w:r>
        <w:t xml:space="preserve">and</w:t>
      </w:r>
      <w:r>
        <w:t xml:space="preserve"> </w:t>
      </w:r>
      <w:r>
        <w:t xml:space="preserve">Animal Browsing</w:t>
      </w:r>
      <w:r>
        <w:t xml:space="preserve"> </w:t>
      </w:r>
      <w:r>
        <w:t xml:space="preserve">of</w:t>
      </w:r>
      <w:r>
        <w:t xml:space="preserve"> </w:t>
      </w:r>
      <w:r>
        <w:t xml:space="preserve">Redwood</w:t>
      </w:r>
      <w:r>
        <w:t xml:space="preserve"> </w:t>
      </w:r>
      <w:r>
        <w:t xml:space="preserve">and</w:t>
      </w:r>
      <w:r>
        <w:t xml:space="preserve"> </w:t>
      </w:r>
      <w:r>
        <w:t xml:space="preserve">Douglas-Fir Seedlings Planted</w:t>
      </w:r>
      <w:r>
        <w:t xml:space="preserve"> </w:t>
      </w:r>
      <w:r>
        <w:t xml:space="preserve">in</w:t>
      </w:r>
      <w:r>
        <w:t xml:space="preserve"> </w:t>
      </w:r>
      <w:r>
        <w:t xml:space="preserve">Coastal Forests</w:t>
      </w:r>
      <w:r>
        <w:t xml:space="preserve"> </w:t>
      </w:r>
      <w:r>
        <w:t xml:space="preserve">of</w:t>
      </w:r>
      <w:r>
        <w:t xml:space="preserve"> </w:t>
      </w:r>
      <w:r>
        <w:t xml:space="preserve">Northern California</w:t>
      </w:r>
      <w:r>
        <w:t xml:space="preserve">.</w:t>
      </w:r>
      <w:r>
        <w:t xml:space="preserve"> </w:t>
      </w:r>
      <w:r>
        <w:rPr>
          <w:iCs/>
          <w:i/>
        </w:rPr>
        <w:t xml:space="preserve">Sustainability</w:t>
      </w:r>
      <w:r>
        <w:t xml:space="preserve">,</w:t>
      </w:r>
      <w:r>
        <w:t xml:space="preserve"> </w:t>
      </w:r>
      <w:r>
        <w:rPr>
          <w:iCs/>
          <w:i/>
        </w:rPr>
        <w:t xml:space="preserve">15</w:t>
      </w:r>
      <w:r>
        <w:t xml:space="preserve">(23, 23), 16409.</w:t>
      </w:r>
      <w:r>
        <w:t xml:space="preserve"> </w:t>
      </w:r>
      <w:hyperlink r:id="rId272">
        <w:r>
          <w:rPr>
            <w:rStyle w:val="Hyperlink"/>
          </w:rPr>
          <w:t xml:space="preserve">https://doi.org/10.3390/su152316409</w:t>
        </w:r>
      </w:hyperlink>
    </w:p>
    <w:bookmarkEnd w:id="273"/>
    <w:bookmarkStart w:id="275" w:name="ref-schutzCanDouglasFir2013"/>
    <w:p>
      <w:pPr>
        <w:pStyle w:val="Bibliography"/>
      </w:pPr>
      <w:r>
        <w:t xml:space="preserve">Schütz, J. P., &amp; Pommerening, A. (2013). Can</w:t>
      </w:r>
      <w:r>
        <w:t xml:space="preserve"> </w:t>
      </w:r>
      <w:r>
        <w:t xml:space="preserve">Douglas</w:t>
      </w:r>
      <w:r>
        <w:t xml:space="preserve"> </w:t>
      </w:r>
      <w:r>
        <w:t xml:space="preserve">fir (</w:t>
      </w:r>
      <w:r>
        <w:t xml:space="preserve">Pseudotsuga</w:t>
      </w:r>
      <w:r>
        <w:t xml:space="preserve"> </w:t>
      </w:r>
      <w:r>
        <w:t xml:space="preserve">menziesii (</w:t>
      </w:r>
      <w:r>
        <w:t xml:space="preserve">Mirb</w:t>
      </w:r>
      <w:r>
        <w:t xml:space="preserve">.)</w:t>
      </w:r>
      <w:r>
        <w:t xml:space="preserve"> </w:t>
      </w:r>
      <w:r>
        <w:t xml:space="preserve">Franco</w:t>
      </w:r>
      <w:r>
        <w:t xml:space="preserve">) sustainably grow in complex forest structures?</w:t>
      </w:r>
      <w:r>
        <w:t xml:space="preserve"> </w:t>
      </w:r>
      <w:r>
        <w:rPr>
          <w:iCs/>
          <w:i/>
        </w:rPr>
        <w:t xml:space="preserve">Forest Ecology and Management</w:t>
      </w:r>
      <w:r>
        <w:t xml:space="preserve">,</w:t>
      </w:r>
      <w:r>
        <w:t xml:space="preserve"> </w:t>
      </w:r>
      <w:r>
        <w:rPr>
          <w:iCs/>
          <w:i/>
        </w:rPr>
        <w:t xml:space="preserve">303</w:t>
      </w:r>
      <w:r>
        <w:t xml:space="preserve">, 175–183.</w:t>
      </w:r>
      <w:r>
        <w:t xml:space="preserve"> </w:t>
      </w:r>
      <w:hyperlink r:id="rId274">
        <w:r>
          <w:rPr>
            <w:rStyle w:val="Hyperlink"/>
          </w:rPr>
          <w:t xml:space="preserve">https://doi.org/10.1016/j.foreco.2013.04.015</w:t>
        </w:r>
      </w:hyperlink>
    </w:p>
    <w:bookmarkEnd w:id="275"/>
    <w:bookmarkStart w:id="276" w:name="X967046730ee9c75b5734d4dc777df7f364d8685"/>
    <w:p>
      <w:pPr>
        <w:pStyle w:val="Bibliography"/>
      </w:pPr>
      <w:r>
        <w:t xml:space="preserve">Schütz, J.-P. (1999). Close-to-nature silviculture: Is this concept compatible with species diversity?</w:t>
      </w:r>
      <w:r>
        <w:t xml:space="preserve"> </w:t>
      </w:r>
      <w:r>
        <w:rPr>
          <w:iCs/>
          <w:i/>
        </w:rPr>
        <w:t xml:space="preserve">Forestry</w:t>
      </w:r>
      <w:r>
        <w:t xml:space="preserve">,</w:t>
      </w:r>
      <w:r>
        <w:t xml:space="preserve"> </w:t>
      </w:r>
      <w:r>
        <w:rPr>
          <w:iCs/>
          <w:i/>
        </w:rPr>
        <w:t xml:space="preserve">72</w:t>
      </w:r>
      <w:r>
        <w:t xml:space="preserve">(4), 359–366.</w:t>
      </w:r>
    </w:p>
    <w:bookmarkEnd w:id="276"/>
    <w:bookmarkStart w:id="278" w:name="ref-schutzSilviculturalToolsDevelop2002"/>
    <w:p>
      <w:pPr>
        <w:pStyle w:val="Bibliography"/>
      </w:pPr>
      <w:r>
        <w:t xml:space="preserve">Schütz, J.-P. (2002). Silvicultural tools to develop irregular and diverse forest structures.</w:t>
      </w:r>
      <w:r>
        <w:t xml:space="preserve"> </w:t>
      </w:r>
      <w:r>
        <w:rPr>
          <w:iCs/>
          <w:i/>
        </w:rPr>
        <w:t xml:space="preserve">Forestry: An International Journal of Forest Research</w:t>
      </w:r>
      <w:r>
        <w:t xml:space="preserve">,</w:t>
      </w:r>
      <w:r>
        <w:t xml:space="preserve"> </w:t>
      </w:r>
      <w:r>
        <w:rPr>
          <w:iCs/>
          <w:i/>
        </w:rPr>
        <w:t xml:space="preserve">75</w:t>
      </w:r>
      <w:r>
        <w:t xml:space="preserve">(4), 329–337.</w:t>
      </w:r>
      <w:r>
        <w:t xml:space="preserve"> </w:t>
      </w:r>
      <w:hyperlink r:id="rId277">
        <w:r>
          <w:rPr>
            <w:rStyle w:val="Hyperlink"/>
          </w:rPr>
          <w:t xml:space="preserve">https://doi.org/10.1093/forestry/75.4.329</w:t>
        </w:r>
      </w:hyperlink>
    </w:p>
    <w:bookmarkEnd w:id="278"/>
    <w:bookmarkStart w:id="279" w:name="ref-schwilkNationalFireFire2009"/>
    <w:p>
      <w:pPr>
        <w:pStyle w:val="Bibliography"/>
      </w:pPr>
      <w:r>
        <w:t xml:space="preserve">Schwilk, D. W., Keeley, J. E., Knapp, E. E., McIver, J., Bailey, J. D., Fettig, C. J., Fiedler, C. E., Harrod, R. J., Moghaddas, J. J., &amp; Outcalt, K. W. (2009). The national</w:t>
      </w:r>
      <w:r>
        <w:t xml:space="preserve"> </w:t>
      </w:r>
      <w:r>
        <w:t xml:space="preserve">Fire</w:t>
      </w:r>
      <w:r>
        <w:t xml:space="preserve"> </w:t>
      </w:r>
      <w:r>
        <w:t xml:space="preserve">and</w:t>
      </w:r>
      <w:r>
        <w:t xml:space="preserve"> </w:t>
      </w:r>
      <w:r>
        <w:t xml:space="preserve">Fire Surrogate</w:t>
      </w:r>
      <w:r>
        <w:t xml:space="preserve"> </w:t>
      </w:r>
      <w:r>
        <w:t xml:space="preserve">study: Effects of fuel reduction methods on forest vegetation structure and fuels.</w:t>
      </w:r>
      <w:r>
        <w:t xml:space="preserve"> </w:t>
      </w:r>
      <w:r>
        <w:rPr>
          <w:iCs/>
          <w:i/>
        </w:rPr>
        <w:t xml:space="preserve">Ecological Applications</w:t>
      </w:r>
      <w:r>
        <w:t xml:space="preserve">,</w:t>
      </w:r>
      <w:r>
        <w:t xml:space="preserve"> </w:t>
      </w:r>
      <w:r>
        <w:rPr>
          <w:iCs/>
          <w:i/>
        </w:rPr>
        <w:t xml:space="preserve">19</w:t>
      </w:r>
      <w:r>
        <w:t xml:space="preserve">(2), 285–304.</w:t>
      </w:r>
    </w:p>
    <w:bookmarkEnd w:id="279"/>
    <w:bookmarkStart w:id="281" w:name="ref-stephensFuelTreatmentLongevity2012"/>
    <w:p>
      <w:pPr>
        <w:pStyle w:val="Bibliography"/>
      </w:pPr>
      <w:r>
        <w:t xml:space="preserve">Stephens, S. L., Collins, B. M., &amp; Roller, G. (2012). Fuel treatment longevity in a</w:t>
      </w:r>
      <w:r>
        <w:t xml:space="preserve"> </w:t>
      </w:r>
      <w:r>
        <w:t xml:space="preserve">Sierra Nevada</w:t>
      </w:r>
      <w:r>
        <w:t xml:space="preserve"> </w:t>
      </w:r>
      <w:r>
        <w:t xml:space="preserve">mixed conifer forest.</w:t>
      </w:r>
      <w:r>
        <w:t xml:space="preserve"> </w:t>
      </w:r>
      <w:r>
        <w:rPr>
          <w:iCs/>
          <w:i/>
        </w:rPr>
        <w:t xml:space="preserve">Forest Ecology and Management</w:t>
      </w:r>
      <w:r>
        <w:t xml:space="preserve">,</w:t>
      </w:r>
      <w:r>
        <w:t xml:space="preserve"> </w:t>
      </w:r>
      <w:r>
        <w:rPr>
          <w:iCs/>
          <w:i/>
        </w:rPr>
        <w:t xml:space="preserve">285</w:t>
      </w:r>
      <w:r>
        <w:t xml:space="preserve">, 204–212.</w:t>
      </w:r>
      <w:r>
        <w:t xml:space="preserve"> </w:t>
      </w:r>
      <w:hyperlink r:id="rId280">
        <w:r>
          <w:rPr>
            <w:rStyle w:val="Hyperlink"/>
          </w:rPr>
          <w:t xml:space="preserve">https://doi.org/10.1016/j.foreco.2012.08.030</w:t>
        </w:r>
      </w:hyperlink>
    </w:p>
    <w:bookmarkEnd w:id="281"/>
    <w:bookmarkStart w:id="283" w:name="ref-stephensFireTreatmentEffects2009"/>
    <w:p>
      <w:pPr>
        <w:pStyle w:val="Bibliography"/>
      </w:pPr>
      <w:r>
        <w:t xml:space="preserve">Stephens, S. L., Moghaddas, J. J., Edminster, C., Fiedler, C. E., Haase, S., Harrington, M., Keeley, J. E., Knapp, E. E., McIver, J. D., &amp; Metlen, K. (2009). Fire treatment effects on vegetation structure, fuels, and potential fire severity in western</w:t>
      </w:r>
      <w:r>
        <w:t xml:space="preserve"> </w:t>
      </w:r>
      <w:r>
        <w:t xml:space="preserve">US</w:t>
      </w:r>
      <w:r>
        <w:t xml:space="preserve"> </w:t>
      </w:r>
      <w:r>
        <w:t xml:space="preserve">forests.</w:t>
      </w:r>
      <w:r>
        <w:t xml:space="preserve"> </w:t>
      </w:r>
      <w:r>
        <w:rPr>
          <w:iCs/>
          <w:i/>
        </w:rPr>
        <w:t xml:space="preserve">Ecological Applications</w:t>
      </w:r>
      <w:r>
        <w:t xml:space="preserve">,</w:t>
      </w:r>
      <w:r>
        <w:t xml:space="preserve"> </w:t>
      </w:r>
      <w:r>
        <w:rPr>
          <w:iCs/>
          <w:i/>
        </w:rPr>
        <w:t xml:space="preserve">19</w:t>
      </w:r>
      <w:r>
        <w:t xml:space="preserve">(2), 305–320.</w:t>
      </w:r>
      <w:r>
        <w:t xml:space="preserve"> </w:t>
      </w:r>
      <w:hyperlink r:id="rId282">
        <w:r>
          <w:rPr>
            <w:rStyle w:val="Hyperlink"/>
          </w:rPr>
          <w:t xml:space="preserve">https://esajournals.onlinelibrary.wiley.com/doi/full/10.1890/07-1755.1</w:t>
        </w:r>
      </w:hyperlink>
    </w:p>
    <w:bookmarkEnd w:id="283"/>
    <w:bookmarkStart w:id="284" w:name="ref-stuartRedwoodFireEcology1985"/>
    <w:p>
      <w:pPr>
        <w:pStyle w:val="Bibliography"/>
      </w:pPr>
      <w:r>
        <w:t xml:space="preserve">Stuart, J. (1985).</w:t>
      </w:r>
      <w:r>
        <w:t xml:space="preserve"> </w:t>
      </w:r>
      <w:r>
        <w:rPr>
          <w:iCs/>
          <w:i/>
        </w:rPr>
        <w:t xml:space="preserve">Redwood fire ecology: Final report submitted to</w:t>
      </w:r>
      <w:r>
        <w:rPr>
          <w:iCs/>
          <w:i/>
        </w:rPr>
        <w:t xml:space="preserve"> </w:t>
      </w:r>
      <w:r>
        <w:rPr>
          <w:iCs/>
          <w:i/>
        </w:rPr>
        <w:t xml:space="preserve">California Department</w:t>
      </w:r>
      <w:r>
        <w:rPr>
          <w:iCs/>
          <w:i/>
        </w:rPr>
        <w:t xml:space="preserve"> </w:t>
      </w:r>
      <w:r>
        <w:rPr>
          <w:iCs/>
          <w:i/>
        </w:rPr>
        <w:t xml:space="preserve">of</w:t>
      </w:r>
      <w:r>
        <w:rPr>
          <w:iCs/>
          <w:i/>
        </w:rPr>
        <w:t xml:space="preserve"> </w:t>
      </w:r>
      <w:r>
        <w:rPr>
          <w:iCs/>
          <w:i/>
        </w:rPr>
        <w:t xml:space="preserve">Parks</w:t>
      </w:r>
      <w:r>
        <w:rPr>
          <w:iCs/>
          <w:i/>
        </w:rPr>
        <w:t xml:space="preserve"> </w:t>
      </w:r>
      <w:r>
        <w:rPr>
          <w:iCs/>
          <w:i/>
        </w:rPr>
        <w:t xml:space="preserve">and</w:t>
      </w:r>
      <w:r>
        <w:rPr>
          <w:iCs/>
          <w:i/>
        </w:rPr>
        <w:t xml:space="preserve"> </w:t>
      </w:r>
      <w:r>
        <w:rPr>
          <w:iCs/>
          <w:i/>
        </w:rPr>
        <w:t xml:space="preserve">Recreation</w:t>
      </w:r>
      <w:r>
        <w:t xml:space="preserve">. Forestry Department, Humboldt State University.</w:t>
      </w:r>
    </w:p>
    <w:bookmarkEnd w:id="284"/>
    <w:bookmarkStart w:id="286" w:name="ref-vanpeltEmergentCrownsLightuse2016"/>
    <w:p>
      <w:pPr>
        <w:pStyle w:val="Bibliography"/>
      </w:pPr>
      <w:r>
        <w:t xml:space="preserve">Van Pelt, R., Sillett, S. C., Kruse, W. A., Freund, J. A., &amp; Kramer, R. D. (2016). Emergent crowns and light-use complementarity lead to global maximum biomass and leaf area in</w:t>
      </w:r>
      <w:r>
        <w:t xml:space="preserve"> </w:t>
      </w:r>
      <w:r>
        <w:t xml:space="preserve">Sequoia</w:t>
      </w:r>
      <w:r>
        <w:t xml:space="preserve"> </w:t>
      </w:r>
      <w:r>
        <w:t xml:space="preserve">sempervirens forests.</w:t>
      </w:r>
      <w:r>
        <w:t xml:space="preserve"> </w:t>
      </w:r>
      <w:r>
        <w:rPr>
          <w:iCs/>
          <w:i/>
        </w:rPr>
        <w:t xml:space="preserve">Forest Ecology and Management</w:t>
      </w:r>
      <w:r>
        <w:t xml:space="preserve">,</w:t>
      </w:r>
      <w:r>
        <w:t xml:space="preserve"> </w:t>
      </w:r>
      <w:r>
        <w:rPr>
          <w:iCs/>
          <w:i/>
        </w:rPr>
        <w:t xml:space="preserve">375</w:t>
      </w:r>
      <w:r>
        <w:t xml:space="preserve">, 279–308.</w:t>
      </w:r>
      <w:r>
        <w:t xml:space="preserve"> </w:t>
      </w:r>
      <w:hyperlink r:id="rId285">
        <w:r>
          <w:rPr>
            <w:rStyle w:val="Hyperlink"/>
          </w:rPr>
          <w:t xml:space="preserve">https://doi.org/10.1016/j.foreco.2016.05.018</w:t>
        </w:r>
      </w:hyperlink>
    </w:p>
    <w:bookmarkEnd w:id="286"/>
    <w:bookmarkStart w:id="287" w:name="ref-varnerEnigmaticFireRegime2017"/>
    <w:p>
      <w:pPr>
        <w:pStyle w:val="Bibliography"/>
      </w:pPr>
      <w:r>
        <w:t xml:space="preserve">Varner, J. M., &amp; Jules, E. S. (2017). The enigmatic fire regime of coast redwood forests and why it matters.</w:t>
      </w:r>
      <w:r>
        <w:t xml:space="preserve"> </w:t>
      </w:r>
      <w:r>
        <w:rPr>
          <w:iCs/>
          <w:i/>
        </w:rPr>
        <w:t xml:space="preserve">Gen. Tech. Rep. PSW-GTR-258. Albany, CA: US Department of Agriculture, Forest Service, Pacific Southwest Research Station: 15-18</w:t>
      </w:r>
      <w:r>
        <w:t xml:space="preserve">,</w:t>
      </w:r>
      <w:r>
        <w:t xml:space="preserve"> </w:t>
      </w:r>
      <w:r>
        <w:rPr>
          <w:iCs/>
          <w:i/>
        </w:rPr>
        <w:t xml:space="preserve">258</w:t>
      </w:r>
      <w:r>
        <w:t xml:space="preserve">, 15–18.</w:t>
      </w:r>
    </w:p>
    <w:bookmarkEnd w:id="287"/>
    <w:bookmarkStart w:id="289" w:name="Xe4c33cd27862f1a273f5ee92394e7273e555926"/>
    <w:p>
      <w:pPr>
        <w:pStyle w:val="Bibliography"/>
      </w:pPr>
      <w:r>
        <w:t xml:space="preserve">Vilà-Vilardell, L., De Cáceres, M., Piqué, M., &amp; Casals, P. (2023). Prescribed fire after thinning increased resistance of sub-</w:t>
      </w:r>
      <w:r>
        <w:t xml:space="preserve">Mediterranean</w:t>
      </w:r>
      <w:r>
        <w:t xml:space="preserve"> </w:t>
      </w:r>
      <w:r>
        <w:t xml:space="preserve">pine forests to drought events and wildfires.</w:t>
      </w:r>
      <w:r>
        <w:t xml:space="preserve"> </w:t>
      </w:r>
      <w:r>
        <w:rPr>
          <w:iCs/>
          <w:i/>
        </w:rPr>
        <w:t xml:space="preserve">Forest Ecology and Management</w:t>
      </w:r>
      <w:r>
        <w:t xml:space="preserve">,</w:t>
      </w:r>
      <w:r>
        <w:t xml:space="preserve"> </w:t>
      </w:r>
      <w:r>
        <w:rPr>
          <w:iCs/>
          <w:i/>
        </w:rPr>
        <w:t xml:space="preserve">527</w:t>
      </w:r>
      <w:r>
        <w:t xml:space="preserve">, 120602.</w:t>
      </w:r>
      <w:r>
        <w:t xml:space="preserve"> </w:t>
      </w:r>
      <w:hyperlink r:id="rId288">
        <w:r>
          <w:rPr>
            <w:rStyle w:val="Hyperlink"/>
          </w:rPr>
          <w:t xml:space="preserve">https://doi.org/10.1016/j.foreco.2022.120602</w:t>
        </w:r>
      </w:hyperlink>
    </w:p>
    <w:bookmarkEnd w:id="289"/>
    <w:bookmarkStart w:id="291" w:name="ref-waringRedwoodTanoakStand2008"/>
    <w:p>
      <w:pPr>
        <w:pStyle w:val="Bibliography"/>
      </w:pPr>
      <w:r>
        <w:t xml:space="preserve">Waring, K. M., &amp; O’Hara, K. L. (2008). Redwood/tanoak stand development and response to tanoak mortality caused by</w:t>
      </w:r>
      <w:r>
        <w:t xml:space="preserve"> </w:t>
      </w:r>
      <w:r>
        <w:rPr>
          <w:iCs/>
          <w:i/>
        </w:rPr>
        <w:t xml:space="preserve">Phytophthora</w:t>
      </w:r>
      <w:r>
        <w:rPr>
          <w:iCs/>
          <w:i/>
        </w:rPr>
        <w:t xml:space="preserve"> </w:t>
      </w:r>
      <w:r>
        <w:rPr>
          <w:iCs/>
          <w:i/>
        </w:rPr>
        <w:t xml:space="preserve">Ramorum</w:t>
      </w:r>
      <w:r>
        <w:t xml:space="preserve">.</w:t>
      </w:r>
      <w:r>
        <w:t xml:space="preserve"> </w:t>
      </w:r>
      <w:r>
        <w:rPr>
          <w:iCs/>
          <w:i/>
        </w:rPr>
        <w:t xml:space="preserve">Forest Ecology and Management</w:t>
      </w:r>
      <w:r>
        <w:t xml:space="preserve">,</w:t>
      </w:r>
      <w:r>
        <w:t xml:space="preserve"> </w:t>
      </w:r>
      <w:r>
        <w:rPr>
          <w:iCs/>
          <w:i/>
        </w:rPr>
        <w:t xml:space="preserve">255</w:t>
      </w:r>
      <w:r>
        <w:t xml:space="preserve">(7), 2650–2658.</w:t>
      </w:r>
      <w:r>
        <w:t xml:space="preserve"> </w:t>
      </w:r>
      <w:hyperlink r:id="rId290">
        <w:r>
          <w:rPr>
            <w:rStyle w:val="Hyperlink"/>
          </w:rPr>
          <w:t xml:space="preserve">https://doi.org/10.1016/j.foreco.2008.01.025</w:t>
        </w:r>
      </w:hyperlink>
    </w:p>
    <w:bookmarkEnd w:id="291"/>
    <w:bookmarkStart w:id="293" w:name="ref-webbWhiskeySpringsLongterm2012"/>
    <w:p>
      <w:pPr>
        <w:pStyle w:val="Bibliography"/>
      </w:pPr>
      <w:r>
        <w:t xml:space="preserve">Webb, L. A., Lindquist, J. L., Wahl, E., &amp; Hubb, A. (2012). Whiskey springs long-term coast redwood density management; final growth, sprout, and yield results. In R. B. Standiford, T. J. Weller, D. D. Piirto, &amp; J. D. Stuart (Eds.),</w:t>
      </w:r>
      <w:r>
        <w:t xml:space="preserve"> </w:t>
      </w:r>
      <w:r>
        <w:rPr>
          <w:iCs/>
          <w:i/>
        </w:rPr>
        <w:t xml:space="preserve">Proceedings of coast redwood forests in a changing</w:t>
      </w:r>
      <w:r>
        <w:rPr>
          <w:iCs/>
          <w:i/>
        </w:rPr>
        <w:t xml:space="preserve"> </w:t>
      </w:r>
      <w:r>
        <w:rPr>
          <w:iCs/>
          <w:i/>
        </w:rPr>
        <w:t xml:space="preserve">California</w:t>
      </w:r>
      <w:r>
        <w:rPr>
          <w:iCs/>
          <w:i/>
        </w:rPr>
        <w:t xml:space="preserve">:</w:t>
      </w:r>
      <w:r>
        <w:rPr>
          <w:iCs/>
          <w:i/>
        </w:rPr>
        <w:t xml:space="preserve"> </w:t>
      </w:r>
      <w:r>
        <w:rPr>
          <w:iCs/>
          <w:i/>
        </w:rPr>
        <w:t xml:space="preserve">A</w:t>
      </w:r>
      <w:r>
        <w:rPr>
          <w:iCs/>
          <w:i/>
        </w:rPr>
        <w:t xml:space="preserve"> </w:t>
      </w:r>
      <w:r>
        <w:rPr>
          <w:iCs/>
          <w:i/>
        </w:rPr>
        <w:t xml:space="preserve">symposium for scientists and managers.</w:t>
      </w:r>
      <w:r>
        <w:t xml:space="preserve"> </w:t>
      </w:r>
      <w:r>
        <w:t xml:space="preserve">(Vol. 238, pp. 571–581). Pacific Southwest Research Station, Forest Service, U.S. Department of Agriculture.</w:t>
      </w:r>
      <w:r>
        <w:t xml:space="preserve"> </w:t>
      </w:r>
      <w:hyperlink r:id="rId292">
        <w:r>
          <w:rPr>
            <w:rStyle w:val="Hyperlink"/>
          </w:rPr>
          <w:t xml:space="preserve">https://www.fs.usda.gov/research/treesearch/41828</w:t>
        </w:r>
      </w:hyperlink>
    </w:p>
    <w:bookmarkEnd w:id="293"/>
    <w:bookmarkStart w:id="295" w:name="ref-wenselSiteIndexSystem1986"/>
    <w:p>
      <w:pPr>
        <w:pStyle w:val="Bibliography"/>
      </w:pPr>
      <w:r>
        <w:t xml:space="preserve">Wensel, L., &amp; Krumland, B. (1986). A site index system for redwood and douglas-fir in</w:t>
      </w:r>
      <w:r>
        <w:t xml:space="preserve"> </w:t>
      </w:r>
      <w:r>
        <w:t xml:space="preserve">California</w:t>
      </w:r>
      <w:r>
        <w:t xml:space="preserve">’s north coast forest.</w:t>
      </w:r>
      <w:r>
        <w:t xml:space="preserve"> </w:t>
      </w:r>
      <w:r>
        <w:rPr>
          <w:iCs/>
          <w:i/>
        </w:rPr>
        <w:t xml:space="preserve">Hilgardia</w:t>
      </w:r>
      <w:r>
        <w:t xml:space="preserve">,</w:t>
      </w:r>
      <w:r>
        <w:t xml:space="preserve"> </w:t>
      </w:r>
      <w:r>
        <w:rPr>
          <w:iCs/>
          <w:i/>
        </w:rPr>
        <w:t xml:space="preserve">54</w:t>
      </w:r>
      <w:r>
        <w:t xml:space="preserve">(8), 1–14.</w:t>
      </w:r>
      <w:r>
        <w:t xml:space="preserve"> </w:t>
      </w:r>
      <w:hyperlink r:id="rId294">
        <w:r>
          <w:rPr>
            <w:rStyle w:val="Hyperlink"/>
          </w:rPr>
          <w:t xml:space="preserve">http://hilgardia.ucanr.edu/Abstract/?a=hilg.v54n08p017</w:t>
        </w:r>
      </w:hyperlink>
    </w:p>
    <w:bookmarkEnd w:id="295"/>
    <w:bookmarkStart w:id="297" w:name="ref-westerlingIncreasingWesternUS2016"/>
    <w:p>
      <w:pPr>
        <w:pStyle w:val="Bibliography"/>
      </w:pPr>
      <w:r>
        <w:t xml:space="preserve">Westerling, A. L. (2016). Increasing western</w:t>
      </w:r>
      <w:r>
        <w:t xml:space="preserve"> </w:t>
      </w:r>
      <w:r>
        <w:t xml:space="preserve">US</w:t>
      </w:r>
      <w:r>
        <w:t xml:space="preserve"> </w:t>
      </w:r>
      <w:r>
        <w:t xml:space="preserve">forest wildfire activity: Sensitivity to changes in the timing of spring.</w:t>
      </w:r>
      <w:r>
        <w:t xml:space="preserve"> </w:t>
      </w:r>
      <w:r>
        <w:rPr>
          <w:iCs/>
          <w:i/>
        </w:rPr>
        <w:t xml:space="preserve">Philosophical Transactions of the Royal Society B: Biological Sciences</w:t>
      </w:r>
      <w:r>
        <w:t xml:space="preserve">,</w:t>
      </w:r>
      <w:r>
        <w:t xml:space="preserve"> </w:t>
      </w:r>
      <w:r>
        <w:rPr>
          <w:iCs/>
          <w:i/>
        </w:rPr>
        <w:t xml:space="preserve">371</w:t>
      </w:r>
      <w:r>
        <w:t xml:space="preserve">(1696), 20150178.</w:t>
      </w:r>
      <w:r>
        <w:t xml:space="preserve"> </w:t>
      </w:r>
      <w:hyperlink r:id="rId296">
        <w:r>
          <w:rPr>
            <w:rStyle w:val="Hyperlink"/>
          </w:rPr>
          <w:t xml:space="preserve">https://doi.org/10.1098/rstb.2015.0178</w:t>
        </w:r>
      </w:hyperlink>
    </w:p>
    <w:bookmarkEnd w:id="297"/>
    <w:bookmarkStart w:id="298" w:name="ref-wiantSproutingOldgrowthRedwood1967"/>
    <w:p>
      <w:pPr>
        <w:pStyle w:val="Bibliography"/>
      </w:pPr>
      <w:r>
        <w:t xml:space="preserve">Wiant, H. V. J., &amp; Powers, R. F. (1967). Sprouting of old-growth redwood.</w:t>
      </w:r>
      <w:r>
        <w:t xml:space="preserve"> </w:t>
      </w:r>
      <w:r>
        <w:rPr>
          <w:iCs/>
          <w:i/>
        </w:rPr>
        <w:t xml:space="preserve">Society of</w:t>
      </w:r>
      <w:r>
        <w:rPr>
          <w:iCs/>
          <w:i/>
        </w:rPr>
        <w:t xml:space="preserve"> </w:t>
      </w:r>
      <w:r>
        <w:rPr>
          <w:iCs/>
          <w:i/>
        </w:rPr>
        <w:t xml:space="preserve">American Foresters Meeting Proceedings</w:t>
      </w:r>
      <w:r>
        <w:rPr>
          <w:iCs/>
          <w:i/>
        </w:rPr>
        <w:t xml:space="preserve"> </w:t>
      </w:r>
      <w:r>
        <w:rPr>
          <w:iCs/>
          <w:i/>
        </w:rPr>
        <w:t xml:space="preserve">1966</w:t>
      </w:r>
      <w:r>
        <w:t xml:space="preserve">, 88–90.</w:t>
      </w:r>
    </w:p>
    <w:bookmarkEnd w:id="298"/>
    <w:bookmarkStart w:id="300" w:name="ref-wilkinsonTanoakSproutDevelopment1997"/>
    <w:p>
      <w:pPr>
        <w:pStyle w:val="Bibliography"/>
      </w:pPr>
      <w:r>
        <w:t xml:space="preserve">Wilkinson, W. H., McDonald, P. M., &amp; Morgan, P. (1997). Tanoak sprout development after cutting and burning in a shade environment.</w:t>
      </w:r>
      <w:r>
        <w:t xml:space="preserve"> </w:t>
      </w:r>
      <w:r>
        <w:rPr>
          <w:iCs/>
          <w:i/>
        </w:rPr>
        <w:t xml:space="preserve">Western Journal of Applied Forestry</w:t>
      </w:r>
      <w:r>
        <w:t xml:space="preserve">,</w:t>
      </w:r>
      <w:r>
        <w:t xml:space="preserve"> </w:t>
      </w:r>
      <w:r>
        <w:rPr>
          <w:iCs/>
          <w:i/>
        </w:rPr>
        <w:t xml:space="preserve">12</w:t>
      </w:r>
      <w:r>
        <w:t xml:space="preserve">(1), 21–26.</w:t>
      </w:r>
      <w:r>
        <w:t xml:space="preserve"> </w:t>
      </w:r>
      <w:hyperlink r:id="rId299">
        <w:r>
          <w:rPr>
            <w:rStyle w:val="Hyperlink"/>
          </w:rPr>
          <w:t xml:space="preserve">https://doi.org/10.1093/wjaf/12.1.21</w:t>
        </w:r>
      </w:hyperlink>
    </w:p>
    <w:bookmarkEnd w:id="300"/>
    <w:bookmarkStart w:id="302" w:name="ref-xanthopoulosCrownFire2020"/>
    <w:p>
      <w:pPr>
        <w:pStyle w:val="Bibliography"/>
      </w:pPr>
      <w:r>
        <w:t xml:space="preserve">Xanthopoulos, G., &amp; Athanasiou, M. (2020). Crown</w:t>
      </w:r>
      <w:r>
        <w:t xml:space="preserve"> </w:t>
      </w:r>
      <w:r>
        <w:t xml:space="preserve">Fire</w:t>
      </w:r>
      <w:r>
        <w:t xml:space="preserve">. In S. L. Manzello (Ed.),</w:t>
      </w:r>
      <w:r>
        <w:t xml:space="preserve"> </w:t>
      </w:r>
      <w:r>
        <w:rPr>
          <w:iCs/>
          <w:i/>
        </w:rPr>
        <w:t xml:space="preserve">Encyclopedia of</w:t>
      </w:r>
      <w:r>
        <w:rPr>
          <w:iCs/>
          <w:i/>
        </w:rPr>
        <w:t xml:space="preserve"> </w:t>
      </w:r>
      <w:r>
        <w:rPr>
          <w:iCs/>
          <w:i/>
        </w:rPr>
        <w:t xml:space="preserve">Wildfires</w:t>
      </w:r>
      <w:r>
        <w:rPr>
          <w:iCs/>
          <w:i/>
        </w:rPr>
        <w:t xml:space="preserve"> </w:t>
      </w:r>
      <w:r>
        <w:rPr>
          <w:iCs/>
          <w:i/>
        </w:rPr>
        <w:t xml:space="preserve">and</w:t>
      </w:r>
      <w:r>
        <w:rPr>
          <w:iCs/>
          <w:i/>
        </w:rPr>
        <w:t xml:space="preserve"> </w:t>
      </w:r>
      <w:r>
        <w:rPr>
          <w:iCs/>
          <w:i/>
        </w:rPr>
        <w:t xml:space="preserve">Wildland-Urban Interface</w:t>
      </w:r>
      <w:r>
        <w:rPr>
          <w:iCs/>
          <w:i/>
        </w:rPr>
        <w:t xml:space="preserve"> </w:t>
      </w:r>
      <w:r>
        <w:rPr>
          <w:iCs/>
          <w:i/>
        </w:rPr>
        <w:t xml:space="preserve">(</w:t>
      </w:r>
      <w:r>
        <w:rPr>
          <w:iCs/>
          <w:i/>
        </w:rPr>
        <w:t xml:space="preserve">WUI</w:t>
      </w:r>
      <w:r>
        <w:rPr>
          <w:iCs/>
          <w:i/>
        </w:rPr>
        <w:t xml:space="preserve">)</w:t>
      </w:r>
      <w:r>
        <w:rPr>
          <w:iCs/>
          <w:i/>
        </w:rPr>
        <w:t xml:space="preserve"> </w:t>
      </w:r>
      <w:r>
        <w:rPr>
          <w:iCs/>
          <w:i/>
        </w:rPr>
        <w:t xml:space="preserve">Fires</w:t>
      </w:r>
      <w:r>
        <w:t xml:space="preserve"> </w:t>
      </w:r>
      <w:r>
        <w:t xml:space="preserve">(pp. 1–15). Springer International Publishing.</w:t>
      </w:r>
      <w:r>
        <w:t xml:space="preserve"> </w:t>
      </w:r>
      <w:hyperlink r:id="rId301">
        <w:r>
          <w:rPr>
            <w:rStyle w:val="Hyperlink"/>
          </w:rPr>
          <w:t xml:space="preserve">https://doi.org/10.1007/978-3-319-51727-8_13-1</w:t>
        </w:r>
      </w:hyperlink>
    </w:p>
    <w:bookmarkEnd w:id="302"/>
    <w:bookmarkStart w:id="303" w:name="Xaca23623e06f89ae5925fbe2640a452bffade8e"/>
    <w:p>
      <w:pPr>
        <w:pStyle w:val="Bibliography"/>
      </w:pPr>
      <w:r>
        <w:t xml:space="preserve">York, R. A., Noble, H., Quinn-Davidson, L. N., &amp; Battles, J. J. (2021). Pyrosilviculture: Combining prescribed fire with gap-based silviculture in mixed-conifer forests of the</w:t>
      </w:r>
      <w:r>
        <w:t xml:space="preserve"> </w:t>
      </w:r>
      <w:r>
        <w:t xml:space="preserve">Sierra Nevada</w:t>
      </w:r>
      <w:r>
        <w:t xml:space="preserve">.</w:t>
      </w:r>
      <w:r>
        <w:t xml:space="preserve"> </w:t>
      </w:r>
      <w:r>
        <w:rPr>
          <w:iCs/>
          <w:i/>
        </w:rPr>
        <w:t xml:space="preserve">Canadian Journal of Forest Research</w:t>
      </w:r>
      <w:r>
        <w:t xml:space="preserve">,</w:t>
      </w:r>
      <w:r>
        <w:t xml:space="preserve"> </w:t>
      </w:r>
      <w:r>
        <w:rPr>
          <w:iCs/>
          <w:i/>
        </w:rPr>
        <w:t xml:space="preserve">51</w:t>
      </w:r>
      <w:r>
        <w:t xml:space="preserve">(999), 1–11.</w:t>
      </w:r>
    </w:p>
    <w:bookmarkEnd w:id="303"/>
    <w:bookmarkEnd w:id="304"/>
    <w:bookmarkEnd w:id="30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5" Target="media/rId45.png" /><Relationship Type="http://schemas.openxmlformats.org/officeDocument/2006/relationships/image" Id="rId36" Target="media/rId36.png" /><Relationship Type="http://schemas.openxmlformats.org/officeDocument/2006/relationships/image" Id="rId31" Target="media/rId31.png" /><Relationship Type="http://schemas.openxmlformats.org/officeDocument/2006/relationships/image" Id="rId68" Target="media/rId68.png" /><Relationship Type="http://schemas.openxmlformats.org/officeDocument/2006/relationships/image" Id="rId112" Target="media/rId112.png" /><Relationship Type="http://schemas.openxmlformats.org/officeDocument/2006/relationships/image" Id="rId105" Target="media/rId105.png" /><Relationship Type="http://schemas.openxmlformats.org/officeDocument/2006/relationships/image" Id="rId97" Target="media/rId97.png" /><Relationship Type="http://schemas.openxmlformats.org/officeDocument/2006/relationships/image" Id="rId55" Target="media/rId55.png" /><Relationship Type="http://schemas.openxmlformats.org/officeDocument/2006/relationships/image" Id="rId61" Target="media/rId61.png" /><Relationship Type="http://schemas.openxmlformats.org/officeDocument/2006/relationships/image" Id="rId76" Target="media/rId76.png" /><Relationship Type="http://schemas.openxmlformats.org/officeDocument/2006/relationships/image" Id="rId81" Target="media/rId81.png" /><Relationship Type="http://schemas.openxmlformats.org/officeDocument/2006/relationships/image" Id="rId88" Target="media/rId88.png" /><Relationship Type="http://schemas.openxmlformats.org/officeDocument/2006/relationships/hyperlink" Id="rId294" Target="http://hilgardia.ucanr.edu/Abstract/?a=hilg.v54n08p017" TargetMode="External" /><Relationship Type="http://schemas.openxmlformats.org/officeDocument/2006/relationships/hyperlink" Id="rId197" Target="https://CRAN.R-project.org/package=DHARMa" TargetMode="External" /><Relationship Type="http://schemas.openxmlformats.org/officeDocument/2006/relationships/hyperlink" Id="rId219" Target="https://CRAN.R-project.org/package=emmeans" TargetMode="External" /><Relationship Type="http://schemas.openxmlformats.org/officeDocument/2006/relationships/hyperlink" Id="rId202" Target="https://academic.oup.com/jof/article-abstract/83/8/494/4647048" TargetMode="External" /><Relationship Type="http://schemas.openxmlformats.org/officeDocument/2006/relationships/hyperlink" Id="rId204" Target="https://books.google.com?id=x3tw07l1IQQC" TargetMode="External" /><Relationship Type="http://schemas.openxmlformats.org/officeDocument/2006/relationships/hyperlink" Id="rId225" Target="https://catalog.hathitrust.org/Record/010837951" TargetMode="External" /><Relationship Type="http://schemas.openxmlformats.org/officeDocument/2006/relationships/hyperlink" Id="rId238" Target="https://digitalcommons.humboldt.edu/etd/269" TargetMode="External" /><Relationship Type="http://schemas.openxmlformats.org/officeDocument/2006/relationships/hyperlink" Id="rId246" Target="https://doi.org/10.1002/ece3.3737" TargetMode="External" /><Relationship Type="http://schemas.openxmlformats.org/officeDocument/2006/relationships/hyperlink" Id="rId301" Target="https://doi.org/10.1007/978-3-319-51727-8_13-1" TargetMode="External" /><Relationship Type="http://schemas.openxmlformats.org/officeDocument/2006/relationships/hyperlink" Id="rId169" Target="https://doi.org/10.1007/BF02858075" TargetMode="External" /><Relationship Type="http://schemas.openxmlformats.org/officeDocument/2006/relationships/hyperlink" Id="rId221" Target="https://doi.org/10.1007/s00442-002-0986-5" TargetMode="External" /><Relationship Type="http://schemas.openxmlformats.org/officeDocument/2006/relationships/hyperlink" Id="rId256" Target="https://doi.org/10.1007/s10310-009-0166-0" TargetMode="External" /><Relationship Type="http://schemas.openxmlformats.org/officeDocument/2006/relationships/hyperlink" Id="rId209" Target="https://doi.org/10.1007/s11056-015-9470-z" TargetMode="External" /><Relationship Type="http://schemas.openxmlformats.org/officeDocument/2006/relationships/hyperlink" Id="rId154" Target="https://doi.org/10.1007/s11056-018-9636-6" TargetMode="External" /><Relationship Type="http://schemas.openxmlformats.org/officeDocument/2006/relationships/hyperlink" Id="rId252" Target="https://doi.org/10.1016/S0378-1127(00)00698-8" TargetMode="External" /><Relationship Type="http://schemas.openxmlformats.org/officeDocument/2006/relationships/hyperlink" Id="rId136" Target="https://doi.org/10.1016/j.foreco.2005.01.034" TargetMode="External" /><Relationship Type="http://schemas.openxmlformats.org/officeDocument/2006/relationships/hyperlink" Id="rId260" Target="https://doi.org/10.1016/j.foreco.2007.03.062" TargetMode="External" /><Relationship Type="http://schemas.openxmlformats.org/officeDocument/2006/relationships/hyperlink" Id="rId290" Target="https://doi.org/10.1016/j.foreco.2008.01.025" TargetMode="External" /><Relationship Type="http://schemas.openxmlformats.org/officeDocument/2006/relationships/hyperlink" Id="rId142" Target="https://doi.org/10.1016/j.foreco.2008.11.028" TargetMode="External" /><Relationship Type="http://schemas.openxmlformats.org/officeDocument/2006/relationships/hyperlink" Id="rId227" Target="https://doi.org/10.1016/j.foreco.2009.07.008" TargetMode="External" /><Relationship Type="http://schemas.openxmlformats.org/officeDocument/2006/relationships/hyperlink" Id="rId217" Target="https://doi.org/10.1016/j.foreco.2010.02.022" TargetMode="External" /><Relationship Type="http://schemas.openxmlformats.org/officeDocument/2006/relationships/hyperlink" Id="rId280" Target="https://doi.org/10.1016/j.foreco.2012.08.030" TargetMode="External" /><Relationship Type="http://schemas.openxmlformats.org/officeDocument/2006/relationships/hyperlink" Id="rId274" Target="https://doi.org/10.1016/j.foreco.2013.04.015" TargetMode="External" /><Relationship Type="http://schemas.openxmlformats.org/officeDocument/2006/relationships/hyperlink" Id="rId211" Target="https://doi.org/10.1016/j.foreco.2014.01.045" TargetMode="External" /><Relationship Type="http://schemas.openxmlformats.org/officeDocument/2006/relationships/hyperlink" Id="rId178" Target="https://doi.org/10.1016/j.foreco.2014.06.025" TargetMode="External" /><Relationship Type="http://schemas.openxmlformats.org/officeDocument/2006/relationships/hyperlink" Id="rId285" Target="https://doi.org/10.1016/j.foreco.2016.05.018" TargetMode="External" /><Relationship Type="http://schemas.openxmlformats.org/officeDocument/2006/relationships/hyperlink" Id="rId163" Target="https://doi.org/10.1016/j.foreco.2016.09.010" TargetMode="External" /><Relationship Type="http://schemas.openxmlformats.org/officeDocument/2006/relationships/hyperlink" Id="rId262" Target="https://doi.org/10.1016/j.foreco.2021.119361" TargetMode="External" /><Relationship Type="http://schemas.openxmlformats.org/officeDocument/2006/relationships/hyperlink" Id="rId244" Target="https://doi.org/10.1016/j.foreco.2022.120136" TargetMode="External" /><Relationship Type="http://schemas.openxmlformats.org/officeDocument/2006/relationships/hyperlink" Id="rId240" Target="https://doi.org/10.1016/j.foreco.2022.120236" TargetMode="External" /><Relationship Type="http://schemas.openxmlformats.org/officeDocument/2006/relationships/hyperlink" Id="rId161" Target="https://doi.org/10.1016/j.foreco.2022.120353" TargetMode="External" /><Relationship Type="http://schemas.openxmlformats.org/officeDocument/2006/relationships/hyperlink" Id="rId288" Target="https://doi.org/10.1016/j.foreco.2022.120602" TargetMode="External" /><Relationship Type="http://schemas.openxmlformats.org/officeDocument/2006/relationships/hyperlink" Id="rId184" Target="https://doi.org/10.1023/A:1006502107495" TargetMode="External" /><Relationship Type="http://schemas.openxmlformats.org/officeDocument/2006/relationships/hyperlink" Id="rId264" Target="https://doi.org/10.1029/2020GL089858" TargetMode="External" /><Relationship Type="http://schemas.openxmlformats.org/officeDocument/2006/relationships/hyperlink" Id="rId277" Target="https://doi.org/10.1093/forestry/75.4.329" TargetMode="External" /><Relationship Type="http://schemas.openxmlformats.org/officeDocument/2006/relationships/hyperlink" Id="rId254" Target="https://doi.org/10.1093/forestry/75.4.339" TargetMode="External" /><Relationship Type="http://schemas.openxmlformats.org/officeDocument/2006/relationships/hyperlink" Id="rId266" Target="https://doi.org/10.1093/forestscience/16.3.339" TargetMode="External" /><Relationship Type="http://schemas.openxmlformats.org/officeDocument/2006/relationships/hyperlink" Id="rId213" Target="https://doi.org/10.1093/jof/38.9.729" TargetMode="External" /><Relationship Type="http://schemas.openxmlformats.org/officeDocument/2006/relationships/hyperlink" Id="rId250" Target="https://doi.org/10.1093/jof/96.7.4a" TargetMode="External" /><Relationship Type="http://schemas.openxmlformats.org/officeDocument/2006/relationships/hyperlink" Id="rId248" Target="https://doi.org/10.1093/jofore/fvab026" TargetMode="External" /><Relationship Type="http://schemas.openxmlformats.org/officeDocument/2006/relationships/hyperlink" Id="rId299" Target="https://doi.org/10.1093/wjaf/12.1.21" TargetMode="External" /><Relationship Type="http://schemas.openxmlformats.org/officeDocument/2006/relationships/hyperlink" Id="rId150" Target="https://doi.org/10.1093/wjaf/24.1.24" TargetMode="External" /><Relationship Type="http://schemas.openxmlformats.org/officeDocument/2006/relationships/hyperlink" Id="rId195" Target="https://doi.org/10.1093/wjaf/7.4.103" TargetMode="External" /><Relationship Type="http://schemas.openxmlformats.org/officeDocument/2006/relationships/hyperlink" Id="rId296" Target="https://doi.org/10.1098/rstb.2015.0178" TargetMode="External" /><Relationship Type="http://schemas.openxmlformats.org/officeDocument/2006/relationships/hyperlink" Id="rId165" Target="https://doi.org/10.1111/rec.12681" TargetMode="External" /><Relationship Type="http://schemas.openxmlformats.org/officeDocument/2006/relationships/hyperlink" Id="rId148" Target="https://doi.org/10.1139/X06-271" TargetMode="External" /><Relationship Type="http://schemas.openxmlformats.org/officeDocument/2006/relationships/hyperlink" Id="rId206" Target="https://doi.org/10.1139/X08-003" TargetMode="External" /><Relationship Type="http://schemas.openxmlformats.org/officeDocument/2006/relationships/hyperlink" Id="rId167" Target="https://doi.org/10.1139/cjfr-2022-0214" TargetMode="External" /><Relationship Type="http://schemas.openxmlformats.org/officeDocument/2006/relationships/hyperlink" Id="rId188" Target="https://doi.org/10.1139/x06-206" TargetMode="External" /><Relationship Type="http://schemas.openxmlformats.org/officeDocument/2006/relationships/hyperlink" Id="rId171" Target="https://doi.org/10.1139/x26-066" TargetMode="External" /><Relationship Type="http://schemas.openxmlformats.org/officeDocument/2006/relationships/hyperlink" Id="rId174" Target="https://doi.org/10.1139/x93-143" TargetMode="External" /><Relationship Type="http://schemas.openxmlformats.org/officeDocument/2006/relationships/hyperlink" Id="rId146" Target="https://doi.org/10.1186/s13717-019-0181-9" TargetMode="External" /><Relationship Type="http://schemas.openxmlformats.org/officeDocument/2006/relationships/hyperlink" Id="rId140" Target="https://doi.org/10.18637/jss.v111.i09" TargetMode="External" /><Relationship Type="http://schemas.openxmlformats.org/officeDocument/2006/relationships/hyperlink" Id="rId270" Target="https://doi.org/10.2737/PSW-GTR-256" TargetMode="External" /><Relationship Type="http://schemas.openxmlformats.org/officeDocument/2006/relationships/hyperlink" Id="rId182" Target="https://doi.org/10.2737/RMRS-GTR-164" TargetMode="External" /><Relationship Type="http://schemas.openxmlformats.org/officeDocument/2006/relationships/hyperlink" Id="rId230" Target="https://doi.org/10.2737/RMRS-RP-103" TargetMode="External" /><Relationship Type="http://schemas.openxmlformats.org/officeDocument/2006/relationships/hyperlink" Id="rId158" Target="https://doi.org/10.32614/RJ-2017-066" TargetMode="External" /><Relationship Type="http://schemas.openxmlformats.org/officeDocument/2006/relationships/hyperlink" Id="rId258" Target="https://doi.org/10.3390/f8050144" TargetMode="External" /><Relationship Type="http://schemas.openxmlformats.org/officeDocument/2006/relationships/hyperlink" Id="rId272" Target="https://doi.org/10.3390/su152316409" TargetMode="External" /><Relationship Type="http://schemas.openxmlformats.org/officeDocument/2006/relationships/hyperlink" Id="rId236" Target="https://doi.org/10.5558/tfc78397-3" TargetMode="External" /><Relationship Type="http://schemas.openxmlformats.org/officeDocument/2006/relationships/hyperlink" Id="rId215" Target="https://doi.org/10.5849/FS-2016-029R2" TargetMode="External" /><Relationship Type="http://schemas.openxmlformats.org/officeDocument/2006/relationships/hyperlink" Id="rId282" Target="https://esajournals.onlinelibrary.wiley.com/doi/full/10.1890/07-1755.1" TargetMode="External" /><Relationship Type="http://schemas.openxmlformats.org/officeDocument/2006/relationships/hyperlink" Id="rId232" Target="https://ir.library.oregonstate.edu/downloads/70795d72s" TargetMode="External" /><Relationship Type="http://schemas.openxmlformats.org/officeDocument/2006/relationships/hyperlink" Id="rId186" Target="https://scholarworks.calstate.edu/concern/theses/ws859j014" TargetMode="External" /><Relationship Type="http://schemas.openxmlformats.org/officeDocument/2006/relationships/hyperlink" Id="rId191" Target="https://www.elibrary.ru/item.asp?id=7397149" TargetMode="External" /><Relationship Type="http://schemas.openxmlformats.org/officeDocument/2006/relationships/hyperlink" Id="rId199" Target="https://www.frontiersin.org/articles/10.3389/ffgc.2020.00078" TargetMode="External" /><Relationship Type="http://schemas.openxmlformats.org/officeDocument/2006/relationships/hyperlink" Id="rId180" Target="https://www.fs.usda.gov/database/feis/plants/tree/notden/all.html" TargetMode="External" /><Relationship Type="http://schemas.openxmlformats.org/officeDocument/2006/relationships/hyperlink" Id="rId242" Target="https://www.fs.usda.gov/research/treesearch/37978" TargetMode="External" /><Relationship Type="http://schemas.openxmlformats.org/officeDocument/2006/relationships/hyperlink" Id="rId292" Target="https://www.fs.usda.gov/research/treesearch/41828" TargetMode="External" /><Relationship Type="http://schemas.openxmlformats.org/officeDocument/2006/relationships/hyperlink" Id="rId152" Target="https://www.fs.usda.gov/treesearch/pubs/55449" TargetMode="External" /><Relationship Type="http://schemas.openxmlformats.org/officeDocument/2006/relationships/hyperlink" Id="rId268" Target="https://www.fs.usda.gov/treesearch/pubs/60134" TargetMode="External" /><Relationship Type="http://schemas.openxmlformats.org/officeDocument/2006/relationships/hyperlink" Id="rId223" Target="https://www.google.com/books/edition/Sprout_Regeneration_of_Young_growth_Redw/48fMLtW9rRgC" TargetMode="External" /><Relationship Type="http://schemas.openxmlformats.org/officeDocument/2006/relationships/hyperlink" Id="rId193" Target="https://www.tandfonline.com/doi/abs/10.1080/21580103.2020.1712264" TargetMode="External" /></Relationships>
</file>

<file path=word/_rels/footnotes.xml.rels><?xml version="1.0" encoding="UTF-8"?><Relationships xmlns="http://schemas.openxmlformats.org/package/2006/relationships"><Relationship Type="http://schemas.openxmlformats.org/officeDocument/2006/relationships/hyperlink" Id="rId294" Target="http://hilgardia.ucanr.edu/Abstract/?a=hilg.v54n08p017" TargetMode="External" /><Relationship Type="http://schemas.openxmlformats.org/officeDocument/2006/relationships/hyperlink" Id="rId197" Target="https://CRAN.R-project.org/package=DHARMa" TargetMode="External" /><Relationship Type="http://schemas.openxmlformats.org/officeDocument/2006/relationships/hyperlink" Id="rId219" Target="https://CRAN.R-project.org/package=emmeans" TargetMode="External" /><Relationship Type="http://schemas.openxmlformats.org/officeDocument/2006/relationships/hyperlink" Id="rId202" Target="https://academic.oup.com/jof/article-abstract/83/8/494/4647048" TargetMode="External" /><Relationship Type="http://schemas.openxmlformats.org/officeDocument/2006/relationships/hyperlink" Id="rId204" Target="https://books.google.com?id=x3tw07l1IQQC" TargetMode="External" /><Relationship Type="http://schemas.openxmlformats.org/officeDocument/2006/relationships/hyperlink" Id="rId225" Target="https://catalog.hathitrust.org/Record/010837951" TargetMode="External" /><Relationship Type="http://schemas.openxmlformats.org/officeDocument/2006/relationships/hyperlink" Id="rId238" Target="https://digitalcommons.humboldt.edu/etd/269" TargetMode="External" /><Relationship Type="http://schemas.openxmlformats.org/officeDocument/2006/relationships/hyperlink" Id="rId246" Target="https://doi.org/10.1002/ece3.3737" TargetMode="External" /><Relationship Type="http://schemas.openxmlformats.org/officeDocument/2006/relationships/hyperlink" Id="rId301" Target="https://doi.org/10.1007/978-3-319-51727-8_13-1" TargetMode="External" /><Relationship Type="http://schemas.openxmlformats.org/officeDocument/2006/relationships/hyperlink" Id="rId169" Target="https://doi.org/10.1007/BF02858075" TargetMode="External" /><Relationship Type="http://schemas.openxmlformats.org/officeDocument/2006/relationships/hyperlink" Id="rId221" Target="https://doi.org/10.1007/s00442-002-0986-5" TargetMode="External" /><Relationship Type="http://schemas.openxmlformats.org/officeDocument/2006/relationships/hyperlink" Id="rId256" Target="https://doi.org/10.1007/s10310-009-0166-0" TargetMode="External" /><Relationship Type="http://schemas.openxmlformats.org/officeDocument/2006/relationships/hyperlink" Id="rId209" Target="https://doi.org/10.1007/s11056-015-9470-z" TargetMode="External" /><Relationship Type="http://schemas.openxmlformats.org/officeDocument/2006/relationships/hyperlink" Id="rId154" Target="https://doi.org/10.1007/s11056-018-9636-6" TargetMode="External" /><Relationship Type="http://schemas.openxmlformats.org/officeDocument/2006/relationships/hyperlink" Id="rId252" Target="https://doi.org/10.1016/S0378-1127(00)00698-8" TargetMode="External" /><Relationship Type="http://schemas.openxmlformats.org/officeDocument/2006/relationships/hyperlink" Id="rId136" Target="https://doi.org/10.1016/j.foreco.2005.01.034" TargetMode="External" /><Relationship Type="http://schemas.openxmlformats.org/officeDocument/2006/relationships/hyperlink" Id="rId260" Target="https://doi.org/10.1016/j.foreco.2007.03.062" TargetMode="External" /><Relationship Type="http://schemas.openxmlformats.org/officeDocument/2006/relationships/hyperlink" Id="rId290" Target="https://doi.org/10.1016/j.foreco.2008.01.025" TargetMode="External" /><Relationship Type="http://schemas.openxmlformats.org/officeDocument/2006/relationships/hyperlink" Id="rId142" Target="https://doi.org/10.1016/j.foreco.2008.11.028" TargetMode="External" /><Relationship Type="http://schemas.openxmlformats.org/officeDocument/2006/relationships/hyperlink" Id="rId227" Target="https://doi.org/10.1016/j.foreco.2009.07.008" TargetMode="External" /><Relationship Type="http://schemas.openxmlformats.org/officeDocument/2006/relationships/hyperlink" Id="rId217" Target="https://doi.org/10.1016/j.foreco.2010.02.022" TargetMode="External" /><Relationship Type="http://schemas.openxmlformats.org/officeDocument/2006/relationships/hyperlink" Id="rId280" Target="https://doi.org/10.1016/j.foreco.2012.08.030" TargetMode="External" /><Relationship Type="http://schemas.openxmlformats.org/officeDocument/2006/relationships/hyperlink" Id="rId274" Target="https://doi.org/10.1016/j.foreco.2013.04.015" TargetMode="External" /><Relationship Type="http://schemas.openxmlformats.org/officeDocument/2006/relationships/hyperlink" Id="rId211" Target="https://doi.org/10.1016/j.foreco.2014.01.045" TargetMode="External" /><Relationship Type="http://schemas.openxmlformats.org/officeDocument/2006/relationships/hyperlink" Id="rId178" Target="https://doi.org/10.1016/j.foreco.2014.06.025" TargetMode="External" /><Relationship Type="http://schemas.openxmlformats.org/officeDocument/2006/relationships/hyperlink" Id="rId285" Target="https://doi.org/10.1016/j.foreco.2016.05.018" TargetMode="External" /><Relationship Type="http://schemas.openxmlformats.org/officeDocument/2006/relationships/hyperlink" Id="rId163" Target="https://doi.org/10.1016/j.foreco.2016.09.010" TargetMode="External" /><Relationship Type="http://schemas.openxmlformats.org/officeDocument/2006/relationships/hyperlink" Id="rId262" Target="https://doi.org/10.1016/j.foreco.2021.119361" TargetMode="External" /><Relationship Type="http://schemas.openxmlformats.org/officeDocument/2006/relationships/hyperlink" Id="rId244" Target="https://doi.org/10.1016/j.foreco.2022.120136" TargetMode="External" /><Relationship Type="http://schemas.openxmlformats.org/officeDocument/2006/relationships/hyperlink" Id="rId240" Target="https://doi.org/10.1016/j.foreco.2022.120236" TargetMode="External" /><Relationship Type="http://schemas.openxmlformats.org/officeDocument/2006/relationships/hyperlink" Id="rId161" Target="https://doi.org/10.1016/j.foreco.2022.120353" TargetMode="External" /><Relationship Type="http://schemas.openxmlformats.org/officeDocument/2006/relationships/hyperlink" Id="rId288" Target="https://doi.org/10.1016/j.foreco.2022.120602" TargetMode="External" /><Relationship Type="http://schemas.openxmlformats.org/officeDocument/2006/relationships/hyperlink" Id="rId184" Target="https://doi.org/10.1023/A:1006502107495" TargetMode="External" /><Relationship Type="http://schemas.openxmlformats.org/officeDocument/2006/relationships/hyperlink" Id="rId264" Target="https://doi.org/10.1029/2020GL089858" TargetMode="External" /><Relationship Type="http://schemas.openxmlformats.org/officeDocument/2006/relationships/hyperlink" Id="rId277" Target="https://doi.org/10.1093/forestry/75.4.329" TargetMode="External" /><Relationship Type="http://schemas.openxmlformats.org/officeDocument/2006/relationships/hyperlink" Id="rId254" Target="https://doi.org/10.1093/forestry/75.4.339" TargetMode="External" /><Relationship Type="http://schemas.openxmlformats.org/officeDocument/2006/relationships/hyperlink" Id="rId266" Target="https://doi.org/10.1093/forestscience/16.3.339" TargetMode="External" /><Relationship Type="http://schemas.openxmlformats.org/officeDocument/2006/relationships/hyperlink" Id="rId213" Target="https://doi.org/10.1093/jof/38.9.729" TargetMode="External" /><Relationship Type="http://schemas.openxmlformats.org/officeDocument/2006/relationships/hyperlink" Id="rId250" Target="https://doi.org/10.1093/jof/96.7.4a" TargetMode="External" /><Relationship Type="http://schemas.openxmlformats.org/officeDocument/2006/relationships/hyperlink" Id="rId248" Target="https://doi.org/10.1093/jofore/fvab026" TargetMode="External" /><Relationship Type="http://schemas.openxmlformats.org/officeDocument/2006/relationships/hyperlink" Id="rId299" Target="https://doi.org/10.1093/wjaf/12.1.21" TargetMode="External" /><Relationship Type="http://schemas.openxmlformats.org/officeDocument/2006/relationships/hyperlink" Id="rId150" Target="https://doi.org/10.1093/wjaf/24.1.24" TargetMode="External" /><Relationship Type="http://schemas.openxmlformats.org/officeDocument/2006/relationships/hyperlink" Id="rId195" Target="https://doi.org/10.1093/wjaf/7.4.103" TargetMode="External" /><Relationship Type="http://schemas.openxmlformats.org/officeDocument/2006/relationships/hyperlink" Id="rId296" Target="https://doi.org/10.1098/rstb.2015.0178" TargetMode="External" /><Relationship Type="http://schemas.openxmlformats.org/officeDocument/2006/relationships/hyperlink" Id="rId165" Target="https://doi.org/10.1111/rec.12681" TargetMode="External" /><Relationship Type="http://schemas.openxmlformats.org/officeDocument/2006/relationships/hyperlink" Id="rId148" Target="https://doi.org/10.1139/X06-271" TargetMode="External" /><Relationship Type="http://schemas.openxmlformats.org/officeDocument/2006/relationships/hyperlink" Id="rId206" Target="https://doi.org/10.1139/X08-003" TargetMode="External" /><Relationship Type="http://schemas.openxmlformats.org/officeDocument/2006/relationships/hyperlink" Id="rId167" Target="https://doi.org/10.1139/cjfr-2022-0214" TargetMode="External" /><Relationship Type="http://schemas.openxmlformats.org/officeDocument/2006/relationships/hyperlink" Id="rId188" Target="https://doi.org/10.1139/x06-206" TargetMode="External" /><Relationship Type="http://schemas.openxmlformats.org/officeDocument/2006/relationships/hyperlink" Id="rId171" Target="https://doi.org/10.1139/x26-066" TargetMode="External" /><Relationship Type="http://schemas.openxmlformats.org/officeDocument/2006/relationships/hyperlink" Id="rId174" Target="https://doi.org/10.1139/x93-143" TargetMode="External" /><Relationship Type="http://schemas.openxmlformats.org/officeDocument/2006/relationships/hyperlink" Id="rId146" Target="https://doi.org/10.1186/s13717-019-0181-9" TargetMode="External" /><Relationship Type="http://schemas.openxmlformats.org/officeDocument/2006/relationships/hyperlink" Id="rId140" Target="https://doi.org/10.18637/jss.v111.i09" TargetMode="External" /><Relationship Type="http://schemas.openxmlformats.org/officeDocument/2006/relationships/hyperlink" Id="rId270" Target="https://doi.org/10.2737/PSW-GTR-256" TargetMode="External" /><Relationship Type="http://schemas.openxmlformats.org/officeDocument/2006/relationships/hyperlink" Id="rId182" Target="https://doi.org/10.2737/RMRS-GTR-164" TargetMode="External" /><Relationship Type="http://schemas.openxmlformats.org/officeDocument/2006/relationships/hyperlink" Id="rId230" Target="https://doi.org/10.2737/RMRS-RP-103" TargetMode="External" /><Relationship Type="http://schemas.openxmlformats.org/officeDocument/2006/relationships/hyperlink" Id="rId158" Target="https://doi.org/10.32614/RJ-2017-066" TargetMode="External" /><Relationship Type="http://schemas.openxmlformats.org/officeDocument/2006/relationships/hyperlink" Id="rId258" Target="https://doi.org/10.3390/f8050144" TargetMode="External" /><Relationship Type="http://schemas.openxmlformats.org/officeDocument/2006/relationships/hyperlink" Id="rId272" Target="https://doi.org/10.3390/su152316409" TargetMode="External" /><Relationship Type="http://schemas.openxmlformats.org/officeDocument/2006/relationships/hyperlink" Id="rId236" Target="https://doi.org/10.5558/tfc78397-3" TargetMode="External" /><Relationship Type="http://schemas.openxmlformats.org/officeDocument/2006/relationships/hyperlink" Id="rId215" Target="https://doi.org/10.5849/FS-2016-029R2" TargetMode="External" /><Relationship Type="http://schemas.openxmlformats.org/officeDocument/2006/relationships/hyperlink" Id="rId282" Target="https://esajournals.onlinelibrary.wiley.com/doi/full/10.1890/07-1755.1" TargetMode="External" /><Relationship Type="http://schemas.openxmlformats.org/officeDocument/2006/relationships/hyperlink" Id="rId232" Target="https://ir.library.oregonstate.edu/downloads/70795d72s" TargetMode="External" /><Relationship Type="http://schemas.openxmlformats.org/officeDocument/2006/relationships/hyperlink" Id="rId186" Target="https://scholarworks.calstate.edu/concern/theses/ws859j014" TargetMode="External" /><Relationship Type="http://schemas.openxmlformats.org/officeDocument/2006/relationships/hyperlink" Id="rId191" Target="https://www.elibrary.ru/item.asp?id=7397149" TargetMode="External" /><Relationship Type="http://schemas.openxmlformats.org/officeDocument/2006/relationships/hyperlink" Id="rId199" Target="https://www.frontiersin.org/articles/10.3389/ffgc.2020.00078" TargetMode="External" /><Relationship Type="http://schemas.openxmlformats.org/officeDocument/2006/relationships/hyperlink" Id="rId180" Target="https://www.fs.usda.gov/database/feis/plants/tree/notden/all.html" TargetMode="External" /><Relationship Type="http://schemas.openxmlformats.org/officeDocument/2006/relationships/hyperlink" Id="rId242" Target="https://www.fs.usda.gov/research/treesearch/37978" TargetMode="External" /><Relationship Type="http://schemas.openxmlformats.org/officeDocument/2006/relationships/hyperlink" Id="rId292" Target="https://www.fs.usda.gov/research/treesearch/41828" TargetMode="External" /><Relationship Type="http://schemas.openxmlformats.org/officeDocument/2006/relationships/hyperlink" Id="rId152" Target="https://www.fs.usda.gov/treesearch/pubs/55449" TargetMode="External" /><Relationship Type="http://schemas.openxmlformats.org/officeDocument/2006/relationships/hyperlink" Id="rId268" Target="https://www.fs.usda.gov/treesearch/pubs/60134" TargetMode="External" /><Relationship Type="http://schemas.openxmlformats.org/officeDocument/2006/relationships/hyperlink" Id="rId223" Target="https://www.google.com/books/edition/Sprout_Regeneration_of_Young_growth_Redw/48fMLtW9rRgC" TargetMode="External" /><Relationship Type="http://schemas.openxmlformats.org/officeDocument/2006/relationships/hyperlink" Id="rId193" Target="https://www.tandfonline.com/doi/abs/10.1080/21580103.2020.171226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Regeneration and Fuel Loading with Varying Overstory Retention in Redwood Stands 10 Years after Transformation to Multiaged Management</dc:title>
  <dc:creator>Judson Fisher</dc:creator>
  <cp:keywords/>
  <dcterms:created xsi:type="dcterms:W3CDTF">2025-06-29T19:58:50Z</dcterms:created>
  <dcterms:modified xsi:type="dcterms:W3CDTF">2025-06-29T19:58:50Z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omments">
    <vt:lpwstr/>
  </property>
  <property fmtid="{D5CDD505-2E9C-101B-9397-08002B2CF9AE}" pid="8" name="crossref">
    <vt:lpwstr/>
  </property>
  <property fmtid="{D5CDD505-2E9C-101B-9397-08002B2CF9AE}" pid="9" name="csl">
    <vt:lpwstr>apa.csl</vt:lpwstr>
  </property>
  <property fmtid="{D5CDD505-2E9C-101B-9397-08002B2CF9AE}" pid="10" name="date">
    <vt:lpwstr>2024-02-13</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template-partials">
    <vt:lpwstr/>
  </property>
  <property fmtid="{D5CDD505-2E9C-101B-9397-08002B2CF9AE}" pid="16" name="toc-title">
    <vt:lpwstr>Table of contents</vt:lpwstr>
  </property>
</Properties>
</file>